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2DD" w:rsidRDefault="00DF32DD" w:rsidP="00DF32DD">
      <w:pPr>
        <w:tabs>
          <w:tab w:val="right" w:pos="9072"/>
        </w:tabs>
        <w:jc w:val="both"/>
        <w:outlineLvl w:val="0"/>
        <w:rPr>
          <w:rFonts w:ascii="Arial" w:eastAsia="宋体" w:hAnsi="Arial"/>
          <w:b/>
          <w:i/>
          <w:sz w:val="24"/>
          <w:lang w:val="en-US" w:eastAsia="zh-CN"/>
        </w:rPr>
      </w:pPr>
      <w:r>
        <w:rPr>
          <w:rFonts w:ascii="Arial" w:hAnsi="Arial" w:cs="Arial"/>
          <w:b/>
          <w:sz w:val="24"/>
        </w:rPr>
        <w:t xml:space="preserve">3GPP TSG-RAN WG4 Meeting </w:t>
      </w:r>
      <w:r>
        <w:rPr>
          <w:rFonts w:ascii="Arial" w:hAnsi="Arial" w:cs="Arial"/>
          <w:b/>
          <w:sz w:val="24"/>
          <w:lang w:eastAsia="zh-CN"/>
        </w:rPr>
        <w:t>#</w:t>
      </w:r>
      <w:r>
        <w:rPr>
          <w:rFonts w:ascii="Arial" w:hAnsi="Arial" w:cs="Arial"/>
          <w:b/>
          <w:sz w:val="24"/>
          <w:lang w:val="en-US" w:eastAsia="zh-CN"/>
        </w:rPr>
        <w:t>110</w:t>
      </w:r>
      <w:r>
        <w:rPr>
          <w:rFonts w:ascii="Arial" w:eastAsia="MS Mincho" w:hAnsi="Arial"/>
          <w:b/>
          <w:sz w:val="24"/>
        </w:rPr>
        <w:tab/>
      </w:r>
      <w:r>
        <w:rPr>
          <w:rFonts w:ascii="Arial" w:hAnsi="Arial"/>
          <w:b/>
          <w:sz w:val="24"/>
          <w:lang w:eastAsia="zh-CN"/>
        </w:rPr>
        <w:t>R4-2</w:t>
      </w:r>
      <w:r w:rsidR="00505B49">
        <w:rPr>
          <w:rFonts w:ascii="Arial" w:hAnsi="Arial"/>
          <w:b/>
          <w:sz w:val="24"/>
          <w:lang w:val="en-US" w:eastAsia="zh-CN"/>
        </w:rPr>
        <w:t>401820</w:t>
      </w:r>
      <w:bookmarkStart w:id="0" w:name="_GoBack"/>
      <w:bookmarkEnd w:id="0"/>
    </w:p>
    <w:p w:rsidR="00DF32DD" w:rsidRDefault="00DF32DD" w:rsidP="00DF32DD">
      <w:pPr>
        <w:tabs>
          <w:tab w:val="left" w:pos="3106"/>
          <w:tab w:val="center" w:pos="4536"/>
          <w:tab w:val="right" w:pos="9072"/>
        </w:tabs>
        <w:jc w:val="both"/>
        <w:outlineLvl w:val="0"/>
        <w:rPr>
          <w:rFonts w:ascii="Arial" w:eastAsia="宋体" w:hAnsi="Arial"/>
          <w:b/>
          <w:sz w:val="24"/>
          <w:lang w:eastAsia="zh-CN"/>
        </w:rPr>
      </w:pPr>
      <w:r>
        <w:rPr>
          <w:rFonts w:ascii="Arial" w:eastAsia="宋体" w:hAnsi="Arial"/>
          <w:b/>
          <w:sz w:val="24"/>
          <w:lang w:val="en-US" w:eastAsia="zh-CN"/>
        </w:rPr>
        <w:t>Athens</w:t>
      </w:r>
      <w:r>
        <w:rPr>
          <w:rFonts w:ascii="Arial" w:eastAsia="宋体" w:hAnsi="Arial"/>
          <w:b/>
          <w:sz w:val="24"/>
          <w:lang w:eastAsia="zh-CN"/>
        </w:rPr>
        <w:t>,</w:t>
      </w:r>
      <w:r>
        <w:rPr>
          <w:rFonts w:ascii="Arial" w:eastAsia="宋体" w:hAnsi="Arial"/>
          <w:b/>
          <w:sz w:val="24"/>
          <w:lang w:val="en-US" w:eastAsia="zh-CN"/>
        </w:rPr>
        <w:t xml:space="preserve"> Greece, 26</w:t>
      </w:r>
      <w:r>
        <w:rPr>
          <w:rFonts w:ascii="Arial" w:eastAsia="宋体" w:hAnsi="Arial"/>
          <w:b/>
          <w:sz w:val="24"/>
          <w:vertAlign w:val="superscript"/>
          <w:lang w:val="en-US" w:eastAsia="zh-CN"/>
        </w:rPr>
        <w:t>th</w:t>
      </w:r>
      <w:r>
        <w:rPr>
          <w:rFonts w:ascii="Arial" w:eastAsia="宋体" w:hAnsi="Arial"/>
          <w:b/>
          <w:sz w:val="24"/>
          <w:lang w:val="en-US" w:eastAsia="zh-CN"/>
        </w:rPr>
        <w:t xml:space="preserve"> Feb</w:t>
      </w:r>
      <w:r>
        <w:rPr>
          <w:rFonts w:ascii="Arial" w:eastAsia="宋体" w:hAnsi="Arial" w:cs="Arial"/>
          <w:b/>
          <w:bCs/>
          <w:sz w:val="24"/>
          <w:szCs w:val="24"/>
          <w:lang w:val="en-US" w:eastAsia="zh-CN"/>
        </w:rPr>
        <w:t xml:space="preserve"> </w:t>
      </w:r>
      <w:r>
        <w:rPr>
          <w:rFonts w:ascii="Arial" w:hAnsi="Arial" w:cs="Arial"/>
          <w:b/>
          <w:bCs/>
          <w:sz w:val="24"/>
          <w:szCs w:val="24"/>
        </w:rPr>
        <w:t>–</w:t>
      </w:r>
      <w:r>
        <w:rPr>
          <w:rFonts w:ascii="Arial" w:eastAsia="宋体" w:hAnsi="Arial" w:cs="Arial"/>
          <w:b/>
          <w:bCs/>
          <w:sz w:val="24"/>
          <w:szCs w:val="24"/>
          <w:lang w:val="en-US" w:eastAsia="zh-CN"/>
        </w:rPr>
        <w:t xml:space="preserve"> 1</w:t>
      </w:r>
      <w:r>
        <w:rPr>
          <w:rFonts w:ascii="Arial" w:eastAsia="宋体" w:hAnsi="Arial" w:cs="Arial"/>
          <w:b/>
          <w:bCs/>
          <w:sz w:val="24"/>
          <w:szCs w:val="24"/>
          <w:vertAlign w:val="superscript"/>
          <w:lang w:val="en-US" w:eastAsia="zh-CN"/>
        </w:rPr>
        <w:t>st</w:t>
      </w:r>
      <w:r>
        <w:rPr>
          <w:rFonts w:ascii="Arial" w:hAnsi="Arial" w:cs="Arial"/>
          <w:b/>
          <w:bCs/>
          <w:sz w:val="24"/>
          <w:szCs w:val="24"/>
          <w:lang w:val="en-US"/>
        </w:rPr>
        <w:t xml:space="preserve"> </w:t>
      </w:r>
      <w:r>
        <w:rPr>
          <w:rFonts w:ascii="Arial" w:eastAsia="宋体" w:hAnsi="Arial" w:cs="Arial"/>
          <w:b/>
          <w:bCs/>
          <w:sz w:val="24"/>
          <w:szCs w:val="24"/>
          <w:lang w:val="en-US" w:eastAsia="zh-CN"/>
        </w:rPr>
        <w:t>March</w:t>
      </w:r>
      <w:r>
        <w:rPr>
          <w:rFonts w:ascii="Arial" w:eastAsia="宋体" w:hAnsi="Arial"/>
          <w:b/>
          <w:sz w:val="24"/>
          <w:lang w:eastAsia="zh-CN"/>
        </w:rPr>
        <w:t>, 202</w:t>
      </w:r>
      <w:r>
        <w:rPr>
          <w:rFonts w:ascii="Arial" w:eastAsia="宋体" w:hAnsi="Arial"/>
          <w:b/>
          <w:sz w:val="24"/>
          <w:lang w:val="en-US" w:eastAsia="zh-CN"/>
        </w:rPr>
        <w:t>4</w:t>
      </w:r>
    </w:p>
    <w:p w:rsidR="00370C1E" w:rsidRPr="00DF32DD" w:rsidRDefault="00370C1E">
      <w:pPr>
        <w:widowControl w:val="0"/>
        <w:overflowPunct w:val="0"/>
        <w:autoSpaceDE w:val="0"/>
        <w:autoSpaceDN w:val="0"/>
        <w:adjustRightInd w:val="0"/>
        <w:spacing w:after="0"/>
        <w:textAlignment w:val="baseline"/>
        <w:rPr>
          <w:rFonts w:ascii="Arial" w:eastAsia="宋体" w:hAnsi="Arial"/>
          <w:b/>
          <w:bCs/>
          <w:sz w:val="24"/>
          <w:lang w:eastAsia="ja-JP"/>
        </w:rPr>
      </w:pPr>
    </w:p>
    <w:p w:rsidR="00370C1E" w:rsidRDefault="003D07F3">
      <w:pPr>
        <w:tabs>
          <w:tab w:val="left" w:pos="1985"/>
        </w:tabs>
        <w:ind w:left="1985" w:hanging="1985"/>
        <w:outlineLvl w:val="0"/>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370C1E" w:rsidRDefault="003D07F3">
      <w:pPr>
        <w:ind w:left="1985" w:hanging="1985"/>
        <w:outlineLvl w:val="0"/>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RRM aspects in the study on Redcap positioning</w:t>
      </w:r>
    </w:p>
    <w:p w:rsidR="00370C1E" w:rsidRDefault="003D07F3">
      <w:pPr>
        <w:tabs>
          <w:tab w:val="left" w:pos="1985"/>
        </w:tabs>
        <w:spacing w:after="120"/>
        <w:outlineLvl w:val="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DF32DD">
        <w:rPr>
          <w:rFonts w:ascii="Arial" w:eastAsia="宋体" w:hAnsi="Arial" w:cs="Arial" w:hint="eastAsia"/>
          <w:b/>
          <w:bCs/>
          <w:sz w:val="24"/>
          <w:lang w:val="en-US" w:eastAsia="zh-CN"/>
        </w:rPr>
        <w:t>8.</w:t>
      </w:r>
      <w:r w:rsidR="00DF32DD">
        <w:rPr>
          <w:rFonts w:ascii="Arial" w:eastAsia="宋体" w:hAnsi="Arial" w:cs="Arial"/>
          <w:b/>
          <w:bCs/>
          <w:sz w:val="24"/>
          <w:lang w:val="en-US" w:eastAsia="zh-CN"/>
        </w:rPr>
        <w:t>14</w:t>
      </w:r>
      <w:r w:rsidR="00DF32DD">
        <w:rPr>
          <w:rFonts w:ascii="Arial" w:eastAsia="宋体" w:hAnsi="Arial" w:cs="Arial" w:hint="eastAsia"/>
          <w:b/>
          <w:bCs/>
          <w:sz w:val="24"/>
          <w:lang w:val="en-US" w:eastAsia="zh-CN"/>
        </w:rPr>
        <w:t>.</w:t>
      </w:r>
      <w:r w:rsidR="00DF32DD">
        <w:rPr>
          <w:rFonts w:ascii="Arial" w:eastAsia="宋体" w:hAnsi="Arial" w:cs="Arial"/>
          <w:b/>
          <w:bCs/>
          <w:sz w:val="24"/>
          <w:lang w:val="en-US" w:eastAsia="zh-CN"/>
        </w:rPr>
        <w:t>2</w:t>
      </w:r>
      <w:r>
        <w:rPr>
          <w:rFonts w:ascii="Arial" w:eastAsia="宋体" w:hAnsi="Arial" w:cs="Arial" w:hint="eastAsia"/>
          <w:b/>
          <w:bCs/>
          <w:sz w:val="24"/>
          <w:lang w:val="en-US" w:eastAsia="zh-CN"/>
        </w:rPr>
        <w:t>.4</w:t>
      </w:r>
    </w:p>
    <w:p w:rsidR="00370C1E" w:rsidRDefault="003D07F3">
      <w:pPr>
        <w:tabs>
          <w:tab w:val="left" w:pos="1985"/>
        </w:tabs>
        <w:outlineLvl w:val="0"/>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370C1E" w:rsidRDefault="003D07F3">
      <w:pPr>
        <w:pStyle w:val="RAN4H1"/>
        <w:rPr>
          <w:lang w:val="en-US"/>
        </w:rPr>
      </w:pPr>
      <w:r>
        <w:rPr>
          <w:lang w:val="en-US"/>
        </w:rPr>
        <w:t>Intro</w:t>
      </w:r>
      <w:r>
        <w:rPr>
          <w:rStyle w:val="RAN4H1Char"/>
          <w:lang w:val="en-US"/>
        </w:rPr>
        <w:t>ductio</w:t>
      </w:r>
      <w:r>
        <w:rPr>
          <w:lang w:val="en-US"/>
        </w:rPr>
        <w:t>n</w:t>
      </w:r>
    </w:p>
    <w:p w:rsidR="00370C1E" w:rsidRDefault="003D07F3">
      <w:pPr>
        <w:spacing w:line="360" w:lineRule="auto"/>
        <w:jc w:val="both"/>
        <w:rPr>
          <w:rFonts w:eastAsia="宋体"/>
          <w:sz w:val="22"/>
          <w:szCs w:val="22"/>
          <w:lang w:val="en-US" w:eastAsia="zh-CN"/>
        </w:rPr>
      </w:pPr>
      <w:r>
        <w:rPr>
          <w:sz w:val="22"/>
          <w:szCs w:val="22"/>
        </w:rPr>
        <w:t xml:space="preserve">The Rel-18 </w:t>
      </w:r>
      <w:r>
        <w:rPr>
          <w:rFonts w:eastAsia="宋体" w:hint="eastAsia"/>
          <w:sz w:val="22"/>
          <w:szCs w:val="22"/>
          <w:lang w:val="en-US" w:eastAsia="zh-CN"/>
        </w:rPr>
        <w:t>WID</w:t>
      </w:r>
      <w:r>
        <w:rPr>
          <w:sz w:val="22"/>
          <w:szCs w:val="22"/>
        </w:rPr>
        <w:t xml:space="preserve"> [1] investigates positioning accuracy enhancement with advanced techniques of </w:t>
      </w:r>
      <w:r>
        <w:rPr>
          <w:rFonts w:eastAsia="宋体" w:hint="eastAsia"/>
          <w:sz w:val="22"/>
          <w:szCs w:val="22"/>
          <w:lang w:val="en-US" w:eastAsia="zh-CN"/>
        </w:rPr>
        <w:t xml:space="preserve"> proposed the Redcap positioning. </w:t>
      </w:r>
      <w:r>
        <w:rPr>
          <w:sz w:val="22"/>
          <w:szCs w:val="22"/>
        </w:rPr>
        <w:t>RAN4 has been assigned the</w:t>
      </w:r>
      <w:r>
        <w:rPr>
          <w:rFonts w:eastAsia="宋体" w:hint="eastAsia"/>
          <w:sz w:val="22"/>
          <w:szCs w:val="22"/>
          <w:lang w:val="en-US" w:eastAsia="zh-CN"/>
        </w:rPr>
        <w:t xml:space="preserve"> </w:t>
      </w:r>
      <w:r>
        <w:rPr>
          <w:sz w:val="22"/>
          <w:szCs w:val="22"/>
        </w:rPr>
        <w:t>following objective</w:t>
      </w:r>
      <w:r>
        <w:rPr>
          <w:rFonts w:eastAsia="宋体" w:hint="eastAsia"/>
          <w:sz w:val="22"/>
          <w:szCs w:val="22"/>
          <w:lang w:val="en-US" w:eastAsia="zh-CN"/>
        </w:rPr>
        <w:t>s</w:t>
      </w:r>
      <w:r>
        <w:rPr>
          <w:sz w:val="22"/>
          <w:szCs w:val="22"/>
        </w:rPr>
        <w:t>.</w:t>
      </w:r>
      <w:r>
        <w:rPr>
          <w:rFonts w:eastAsia="宋体" w:hint="eastAsia"/>
          <w:sz w:val="22"/>
          <w:szCs w:val="22"/>
          <w:lang w:val="en-US" w:eastAsia="zh-CN"/>
        </w:rPr>
        <w:t xml:space="preserve">  </w:t>
      </w:r>
    </w:p>
    <w:tbl>
      <w:tblPr>
        <w:tblStyle w:val="aa"/>
        <w:tblW w:w="0" w:type="auto"/>
        <w:tblLook w:val="04A0" w:firstRow="1" w:lastRow="0" w:firstColumn="1" w:lastColumn="0" w:noHBand="0" w:noVBand="1"/>
      </w:tblPr>
      <w:tblGrid>
        <w:gridCol w:w="9617"/>
      </w:tblGrid>
      <w:tr w:rsidR="00370C1E">
        <w:tc>
          <w:tcPr>
            <w:tcW w:w="9617" w:type="dxa"/>
          </w:tcPr>
          <w:p w:rsidR="00370C1E" w:rsidRDefault="003D07F3">
            <w:pPr>
              <w:numPr>
                <w:ilvl w:val="0"/>
                <w:numId w:val="3"/>
              </w:numPr>
              <w:spacing w:after="0"/>
              <w:rPr>
                <w:rFonts w:eastAsia="MS Mincho"/>
                <w:highlight w:val="yellow"/>
                <w:lang w:val="en-US" w:eastAsia="ko-KR"/>
              </w:rPr>
            </w:pPr>
            <w:r>
              <w:rPr>
                <w:rFonts w:eastAsia="MS Mincho"/>
                <w:highlight w:val="yellow"/>
                <w:lang w:val="en-US" w:eastAsia="ko-KR"/>
              </w:rPr>
              <w:t>Specify support of positioning for UEs with Reduced Capabilities (RedCap UEs)</w:t>
            </w:r>
          </w:p>
          <w:p w:rsidR="00370C1E" w:rsidRDefault="003D07F3">
            <w:pPr>
              <w:numPr>
                <w:ilvl w:val="1"/>
                <w:numId w:val="3"/>
              </w:numPr>
              <w:rPr>
                <w:rFonts w:eastAsia="MS Mincho"/>
                <w:lang w:val="en-US" w:eastAsia="ko-KR"/>
              </w:rPr>
            </w:pPr>
            <w:r>
              <w:rPr>
                <w:rFonts w:eastAsia="MS Mincho"/>
                <w:lang w:val="en-US" w:eastAsia="ko-KR"/>
              </w:rPr>
              <w:t xml:space="preserve">Specify support of Frequency Hopping (FH) beyond maximum RedCap UE bandwidth for reception of DL PRS </w:t>
            </w:r>
            <w:r>
              <w:rPr>
                <w:rFonts w:hint="eastAsia"/>
                <w:lang w:val="en-US" w:eastAsia="zh-CN"/>
              </w:rPr>
              <w:t>and</w:t>
            </w:r>
            <w:r>
              <w:rPr>
                <w:rFonts w:eastAsia="MS Mincho"/>
                <w:lang w:val="en-US" w:eastAsia="ko-KR"/>
              </w:rPr>
              <w:t xml:space="preserve"> transmission of UL SRS for positioning [RAN1, RAN2].</w:t>
            </w:r>
          </w:p>
          <w:p w:rsidR="00370C1E" w:rsidRDefault="003D07F3">
            <w:pPr>
              <w:numPr>
                <w:ilvl w:val="2"/>
                <w:numId w:val="3"/>
              </w:numPr>
              <w:rPr>
                <w:rFonts w:eastAsia="MS Mincho"/>
                <w:lang w:val="en-US" w:eastAsia="ko-KR"/>
              </w:rPr>
            </w:pPr>
            <w:r>
              <w:rPr>
                <w:rFonts w:eastAsia="MS Mincho"/>
                <w:lang w:val="en-US" w:eastAsia="ko-KR"/>
              </w:rPr>
              <w:t>NOTE: The complexity of the corresponding capabilities for RedCap UEs should be addressed for the introduction of appropriate capabilities for RedCap UEs.</w:t>
            </w:r>
          </w:p>
          <w:p w:rsidR="00370C1E" w:rsidRDefault="003D07F3">
            <w:pPr>
              <w:numPr>
                <w:ilvl w:val="1"/>
                <w:numId w:val="3"/>
              </w:numPr>
              <w:spacing w:after="0"/>
              <w:rPr>
                <w:b/>
                <w:bCs/>
              </w:rPr>
            </w:pPr>
            <w:r>
              <w:rPr>
                <w:rFonts w:eastAsia="MS Mincho"/>
                <w:highlight w:val="yellow"/>
                <w:lang w:val="en-US" w:eastAsia="ko-KR"/>
              </w:rPr>
              <w:t>Specify RRM requirements for positioning including RRM measurements and procedures for RedCap UEs for both with and without frequency hopping [RAN4].</w:t>
            </w:r>
          </w:p>
          <w:p w:rsidR="00370C1E" w:rsidRDefault="00370C1E">
            <w:pPr>
              <w:spacing w:after="0"/>
              <w:rPr>
                <w:b/>
                <w:bCs/>
              </w:rPr>
            </w:pPr>
          </w:p>
        </w:tc>
      </w:tr>
    </w:tbl>
    <w:p w:rsidR="00370C1E" w:rsidRDefault="003D07F3">
      <w:pPr>
        <w:spacing w:line="360" w:lineRule="auto"/>
        <w:jc w:val="both"/>
        <w:rPr>
          <w:sz w:val="22"/>
          <w:szCs w:val="22"/>
          <w:lang w:val="en-US" w:eastAsia="zh-CN"/>
        </w:rPr>
      </w:pPr>
      <w:r>
        <w:rPr>
          <w:rFonts w:hint="eastAsia"/>
          <w:sz w:val="22"/>
          <w:szCs w:val="22"/>
          <w:lang w:val="en-US" w:eastAsia="zh-CN"/>
        </w:rPr>
        <w:t>In the last meeting, we mainly discussed the PRS measurement requirements without frequency hopping. However, based on RAN1 progress, we shall consider the with frequency hopping in this meeting.</w:t>
      </w:r>
    </w:p>
    <w:p w:rsidR="00370C1E" w:rsidRDefault="003D07F3">
      <w:pPr>
        <w:pStyle w:val="RAN4H1"/>
        <w:rPr>
          <w:rFonts w:hAnsi="Cambria Math"/>
          <w:b/>
          <w:bCs/>
          <w:iCs/>
          <w:lang w:val="en-US" w:eastAsia="zh-CN"/>
        </w:rPr>
      </w:pPr>
      <w:r>
        <w:rPr>
          <w:lang w:val="en-US"/>
        </w:rPr>
        <w:t>Discussion</w:t>
      </w:r>
    </w:p>
    <w:p w:rsidR="00370C1E" w:rsidRDefault="003D07F3">
      <w:pPr>
        <w:pStyle w:val="2"/>
        <w:ind w:left="0" w:firstLine="0"/>
        <w:rPr>
          <w:sz w:val="28"/>
          <w:szCs w:val="18"/>
          <w:lang w:val="en-US" w:eastAsia="zh-CN"/>
        </w:rPr>
      </w:pPr>
      <w:r>
        <w:rPr>
          <w:rFonts w:hint="eastAsia"/>
          <w:sz w:val="28"/>
          <w:szCs w:val="18"/>
          <w:lang w:val="en-US" w:eastAsia="zh-CN"/>
        </w:rPr>
        <w:t>2.1  PRS measurement with frequency hopping</w:t>
      </w:r>
    </w:p>
    <w:p w:rsidR="00370C1E" w:rsidRDefault="003D07F3">
      <w:pPr>
        <w:spacing w:line="360" w:lineRule="auto"/>
        <w:jc w:val="both"/>
        <w:rPr>
          <w:sz w:val="22"/>
          <w:szCs w:val="22"/>
          <w:lang w:val="en-US" w:eastAsia="zh-CN"/>
        </w:rPr>
      </w:pPr>
      <w:r>
        <w:rPr>
          <w:rFonts w:hint="eastAsia"/>
          <w:sz w:val="22"/>
          <w:szCs w:val="22"/>
          <w:lang w:val="en-US" w:eastAsia="zh-CN"/>
        </w:rPr>
        <w:t xml:space="preserve">Firstly we shall clarify the scenario for the frequency. The bandwidth of the positioning reference signal is larger than the UE channel bandwidth, and it is not possible to effectively transmit traffic at this time. If frequency hopping is used, the existing problem can be solved. For example, currently for redcap UEs, the effective bandwidth in FR1 is 20 MHz, so using frequency hopping increases the bandwidth from 20 MHz to 80 </w:t>
      </w:r>
      <w:proofErr w:type="spellStart"/>
      <w:r>
        <w:rPr>
          <w:rFonts w:hint="eastAsia"/>
          <w:sz w:val="22"/>
          <w:szCs w:val="22"/>
          <w:lang w:val="en-US" w:eastAsia="zh-CN"/>
        </w:rPr>
        <w:t>MHz.</w:t>
      </w:r>
      <w:proofErr w:type="spellEnd"/>
      <w:r>
        <w:rPr>
          <w:rFonts w:hint="eastAsia"/>
          <w:sz w:val="22"/>
          <w:szCs w:val="22"/>
          <w:lang w:val="en-US" w:eastAsia="zh-CN"/>
        </w:rPr>
        <w:t xml:space="preserve"> Equivalent to transmitting a PRS with a bandwidth of 80 </w:t>
      </w:r>
      <w:proofErr w:type="spellStart"/>
      <w:r>
        <w:rPr>
          <w:rFonts w:hint="eastAsia"/>
          <w:sz w:val="22"/>
          <w:szCs w:val="22"/>
          <w:lang w:val="en-US" w:eastAsia="zh-CN"/>
        </w:rPr>
        <w:t>MHz.For</w:t>
      </w:r>
      <w:proofErr w:type="spellEnd"/>
      <w:r>
        <w:rPr>
          <w:rFonts w:hint="eastAsia"/>
          <w:sz w:val="22"/>
          <w:szCs w:val="22"/>
          <w:lang w:val="en-US" w:eastAsia="zh-CN"/>
        </w:rPr>
        <w:t xml:space="preserve"> both uplink and downlink frequency hopping supported by the UE, the UE needs to report the maximum number of frequency hopping supported. For each frequency hopping, the maximum PRS bandwidth supported depends on the current UE's capabilities. Currently, the bandwidth is 20 MHz in FR1 and 100 MHz in FR2. If in FR1, the maximum bandwidth of the PRS is 20 MHz, and the UE reports a maximum of 5 frequency hops. After cascading, the total bandwidth that can be achieved is 80 </w:t>
      </w:r>
      <w:proofErr w:type="spellStart"/>
      <w:r>
        <w:rPr>
          <w:rFonts w:hint="eastAsia"/>
          <w:sz w:val="22"/>
          <w:szCs w:val="22"/>
          <w:lang w:val="en-US" w:eastAsia="zh-CN"/>
        </w:rPr>
        <w:t>MHz.</w:t>
      </w:r>
      <w:proofErr w:type="spellEnd"/>
      <w:r>
        <w:rPr>
          <w:rFonts w:hint="eastAsia"/>
          <w:sz w:val="22"/>
          <w:szCs w:val="22"/>
          <w:lang w:val="en-US" w:eastAsia="zh-CN"/>
        </w:rPr>
        <w:t xml:space="preserve"> During this process, the UE reports its capabilities, and the network side evaluates and configures the UE, depending on the network configuration, as below:</w:t>
      </w:r>
    </w:p>
    <w:p w:rsidR="00370C1E" w:rsidRDefault="003D07F3">
      <w:pPr>
        <w:spacing w:line="360" w:lineRule="auto"/>
        <w:jc w:val="center"/>
        <w:rPr>
          <w:lang w:val="en-US" w:eastAsia="zh-CN"/>
        </w:rPr>
      </w:pPr>
      <w:r>
        <w:object w:dxaOrig="5161"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1.8pt" o:ole="">
            <v:imagedata r:id="rId9" o:title=""/>
          </v:shape>
          <o:OLEObject Type="Embed" ProgID="Visio.Drawing.11" ShapeID="_x0000_i1025" DrawAspect="Content" ObjectID="_1769871584" r:id="rId10"/>
        </w:object>
      </w:r>
    </w:p>
    <w:p w:rsidR="00370C1E" w:rsidRDefault="003D07F3">
      <w:pPr>
        <w:jc w:val="center"/>
        <w:rPr>
          <w:lang w:val="en-US" w:eastAsia="zh-CN"/>
        </w:rPr>
      </w:pPr>
      <w:r>
        <w:rPr>
          <w:rFonts w:hint="eastAsia"/>
          <w:lang w:val="en-US" w:eastAsia="zh-CN"/>
        </w:rPr>
        <w:t>Figure 1 frequency hopping</w:t>
      </w:r>
    </w:p>
    <w:p w:rsidR="00370C1E" w:rsidRDefault="003D07F3">
      <w:pPr>
        <w:spacing w:line="360" w:lineRule="auto"/>
        <w:jc w:val="both"/>
        <w:rPr>
          <w:sz w:val="22"/>
          <w:szCs w:val="22"/>
          <w:lang w:val="en-US" w:eastAsia="zh-CN"/>
        </w:rPr>
      </w:pPr>
      <w:r>
        <w:rPr>
          <w:sz w:val="22"/>
          <w:szCs w:val="22"/>
          <w:lang w:val="en-US" w:eastAsia="zh-CN"/>
        </w:rPr>
        <w:t>The following specific analysis of the configuration of RS frequency hopping mainly discusses two effective situations, as follows:</w:t>
      </w:r>
    </w:p>
    <w:p w:rsidR="00370C1E" w:rsidRDefault="003D07F3">
      <w:pPr>
        <w:spacing w:line="360" w:lineRule="auto"/>
        <w:jc w:val="both"/>
        <w:rPr>
          <w:sz w:val="22"/>
          <w:szCs w:val="22"/>
          <w:lang w:val="en-US" w:eastAsia="zh-CN"/>
        </w:rPr>
      </w:pPr>
      <w:r>
        <w:rPr>
          <w:rFonts w:hint="eastAsia"/>
          <w:sz w:val="22"/>
          <w:szCs w:val="22"/>
          <w:lang w:val="en-US" w:eastAsia="zh-CN"/>
        </w:rPr>
        <w:t>Frequency hopping within one resource</w:t>
      </w:r>
    </w:p>
    <w:p w:rsidR="00370C1E" w:rsidRDefault="003D07F3">
      <w:pPr>
        <w:jc w:val="center"/>
        <w:rPr>
          <w:rFonts w:eastAsia="宋体"/>
          <w:kern w:val="2"/>
        </w:rPr>
      </w:pPr>
      <w:r>
        <w:rPr>
          <w:rFonts w:eastAsia="宋体"/>
          <w:noProof/>
          <w:kern w:val="2"/>
          <w:lang w:val="en-US" w:eastAsia="zh-CN"/>
        </w:rPr>
        <w:drawing>
          <wp:inline distT="0" distB="0" distL="114300" distR="114300">
            <wp:extent cx="3122295" cy="1979930"/>
            <wp:effectExtent l="0" t="0" r="0" b="0"/>
            <wp:docPr id="7" name="图片 7"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opping 1"/>
                    <pic:cNvPicPr>
                      <a:picLocks noChangeAspect="1"/>
                    </pic:cNvPicPr>
                  </pic:nvPicPr>
                  <pic:blipFill>
                    <a:blip r:embed="rId11"/>
                    <a:stretch>
                      <a:fillRect/>
                    </a:stretch>
                  </pic:blipFill>
                  <pic:spPr>
                    <a:xfrm>
                      <a:off x="0" y="0"/>
                      <a:ext cx="3122295" cy="1979930"/>
                    </a:xfrm>
                    <a:prstGeom prst="rect">
                      <a:avLst/>
                    </a:prstGeom>
                  </pic:spPr>
                </pic:pic>
              </a:graphicData>
            </a:graphic>
          </wp:inline>
        </w:drawing>
      </w:r>
    </w:p>
    <w:p w:rsidR="00370C1E" w:rsidRDefault="003D07F3">
      <w:pPr>
        <w:jc w:val="center"/>
        <w:rPr>
          <w:rFonts w:eastAsia="宋体"/>
          <w:kern w:val="2"/>
          <w:lang w:val="en-US" w:eastAsia="zh-CN"/>
        </w:rPr>
      </w:pPr>
      <w:r>
        <w:rPr>
          <w:rFonts w:eastAsia="宋体" w:hint="eastAsia"/>
          <w:kern w:val="2"/>
          <w:lang w:val="en-US" w:eastAsia="zh-CN"/>
        </w:rPr>
        <w:t>Figure 2 frequency hopping within one resource</w:t>
      </w:r>
    </w:p>
    <w:p w:rsidR="00370C1E" w:rsidRDefault="003D07F3">
      <w:pPr>
        <w:spacing w:line="360" w:lineRule="auto"/>
        <w:jc w:val="both"/>
        <w:rPr>
          <w:sz w:val="22"/>
          <w:szCs w:val="22"/>
          <w:lang w:val="en-US" w:eastAsia="zh-CN"/>
        </w:rPr>
      </w:pPr>
      <w:r>
        <w:rPr>
          <w:sz w:val="22"/>
          <w:szCs w:val="22"/>
          <w:lang w:val="en-US" w:eastAsia="zh-CN"/>
        </w:rPr>
        <w:t>Divide a resource into several parts</w:t>
      </w:r>
      <w:r>
        <w:rPr>
          <w:rFonts w:hint="eastAsia"/>
          <w:sz w:val="22"/>
          <w:szCs w:val="22"/>
          <w:lang w:val="en-US" w:eastAsia="zh-CN"/>
        </w:rPr>
        <w:t xml:space="preserve"> in frequency domain</w:t>
      </w:r>
      <w:r>
        <w:rPr>
          <w:sz w:val="22"/>
          <w:szCs w:val="22"/>
          <w:lang w:val="en-US" w:eastAsia="zh-CN"/>
        </w:rPr>
        <w:t>, each corresponding to a hop, receive these hops in different symbols, and finally combine them</w:t>
      </w:r>
      <w:r>
        <w:rPr>
          <w:rFonts w:hint="eastAsia"/>
          <w:sz w:val="22"/>
          <w:szCs w:val="22"/>
          <w:lang w:val="en-US" w:eastAsia="zh-CN"/>
        </w:rPr>
        <w:t xml:space="preserve"> and the three hopping parts refer to different symbols of one RS resource.</w:t>
      </w:r>
    </w:p>
    <w:p w:rsidR="00370C1E" w:rsidRDefault="003D07F3">
      <w:pPr>
        <w:spacing w:line="360" w:lineRule="auto"/>
        <w:jc w:val="both"/>
        <w:rPr>
          <w:sz w:val="22"/>
          <w:szCs w:val="22"/>
          <w:lang w:val="en-US" w:eastAsia="zh-CN"/>
        </w:rPr>
      </w:pPr>
      <w:r>
        <w:rPr>
          <w:rFonts w:hint="eastAsia"/>
          <w:sz w:val="22"/>
          <w:szCs w:val="22"/>
          <w:lang w:val="en-US" w:eastAsia="zh-CN"/>
        </w:rPr>
        <w:t>Frequency hopping within one resource set</w:t>
      </w:r>
    </w:p>
    <w:p w:rsidR="00370C1E" w:rsidRDefault="003D07F3">
      <w:pPr>
        <w:spacing w:line="360" w:lineRule="auto"/>
        <w:jc w:val="center"/>
        <w:rPr>
          <w:rFonts w:eastAsia="宋体"/>
          <w:kern w:val="2"/>
        </w:rPr>
      </w:pPr>
      <w:r>
        <w:rPr>
          <w:rFonts w:eastAsia="宋体"/>
          <w:noProof/>
          <w:kern w:val="2"/>
          <w:lang w:val="en-US" w:eastAsia="zh-CN"/>
        </w:rPr>
        <w:drawing>
          <wp:inline distT="0" distB="0" distL="114300" distR="114300">
            <wp:extent cx="4414520" cy="2016125"/>
            <wp:effectExtent l="0" t="0" r="0" b="0"/>
            <wp:docPr id="16" name="图片 16"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opping 2"/>
                    <pic:cNvPicPr>
                      <a:picLocks noChangeAspect="1"/>
                    </pic:cNvPicPr>
                  </pic:nvPicPr>
                  <pic:blipFill>
                    <a:blip r:embed="rId12"/>
                    <a:stretch>
                      <a:fillRect/>
                    </a:stretch>
                  </pic:blipFill>
                  <pic:spPr>
                    <a:xfrm>
                      <a:off x="0" y="0"/>
                      <a:ext cx="4414520" cy="2016125"/>
                    </a:xfrm>
                    <a:prstGeom prst="rect">
                      <a:avLst/>
                    </a:prstGeom>
                  </pic:spPr>
                </pic:pic>
              </a:graphicData>
            </a:graphic>
          </wp:inline>
        </w:drawing>
      </w:r>
    </w:p>
    <w:p w:rsidR="00370C1E" w:rsidRDefault="003D07F3">
      <w:pPr>
        <w:jc w:val="center"/>
        <w:rPr>
          <w:rFonts w:eastAsia="宋体"/>
          <w:kern w:val="2"/>
          <w:lang w:val="en-US" w:eastAsia="zh-CN"/>
        </w:rPr>
      </w:pPr>
      <w:r>
        <w:rPr>
          <w:rFonts w:eastAsia="宋体" w:hint="eastAsia"/>
          <w:kern w:val="2"/>
          <w:lang w:val="en-US" w:eastAsia="zh-CN"/>
        </w:rPr>
        <w:lastRenderedPageBreak/>
        <w:t>Figure 3 frequency hopping within one resource set</w:t>
      </w:r>
    </w:p>
    <w:p w:rsidR="00370C1E" w:rsidRDefault="003D07F3">
      <w:pPr>
        <w:spacing w:line="360" w:lineRule="auto"/>
        <w:jc w:val="both"/>
        <w:rPr>
          <w:sz w:val="22"/>
          <w:szCs w:val="22"/>
          <w:lang w:val="en-US" w:eastAsia="zh-CN"/>
        </w:rPr>
      </w:pPr>
      <w:r>
        <w:rPr>
          <w:sz w:val="22"/>
          <w:szCs w:val="22"/>
          <w:lang w:val="en-US" w:eastAsia="zh-CN"/>
        </w:rPr>
        <w:t>A resource set contains different resources, such as resource 1, resource 2, and resource 3.</w:t>
      </w:r>
      <w:r>
        <w:rPr>
          <w:rFonts w:hint="eastAsia"/>
          <w:sz w:val="22"/>
          <w:szCs w:val="22"/>
          <w:lang w:val="en-US" w:eastAsia="zh-CN"/>
        </w:rPr>
        <w:t xml:space="preserve">... </w:t>
      </w:r>
      <w:r>
        <w:rPr>
          <w:sz w:val="22"/>
          <w:szCs w:val="22"/>
          <w:lang w:val="en-US" w:eastAsia="zh-CN"/>
        </w:rPr>
        <w:t>However, the frequency range of these different resources is inconsistent. Therefore, using similar methods, different resources correspond to different hops, and ultimately different resources are c</w:t>
      </w:r>
      <w:r>
        <w:rPr>
          <w:rFonts w:hint="eastAsia"/>
          <w:sz w:val="22"/>
          <w:szCs w:val="22"/>
          <w:lang w:val="en-US" w:eastAsia="zh-CN"/>
        </w:rPr>
        <w:t>ombined as a whole</w:t>
      </w:r>
      <w:r>
        <w:rPr>
          <w:sz w:val="22"/>
          <w:szCs w:val="22"/>
          <w:lang w:val="en-US" w:eastAsia="zh-CN"/>
        </w:rPr>
        <w:t>.</w:t>
      </w:r>
    </w:p>
    <w:p w:rsidR="00370C1E" w:rsidRDefault="003D07F3">
      <w:pPr>
        <w:spacing w:line="360" w:lineRule="auto"/>
        <w:jc w:val="both"/>
        <w:rPr>
          <w:sz w:val="22"/>
          <w:szCs w:val="22"/>
          <w:lang w:val="en-US" w:eastAsia="zh-CN"/>
        </w:rPr>
      </w:pPr>
      <w:r>
        <w:rPr>
          <w:rFonts w:hint="eastAsia"/>
          <w:sz w:val="22"/>
          <w:szCs w:val="22"/>
          <w:lang w:val="en-US" w:eastAsia="zh-CN"/>
        </w:rPr>
        <w:t>Based on the above scenarios, it is likely to clarify the scenario of the DL-PRS measurement frequency hopping. This scenario is mainly based on the RAN4 legacy issue. In R16/R17 positioning, when a measurement gap measures DL-PRS, only PRS measurements are performed. PRS is sent periodically, and measurements are performed in a measurement gap. UE can measure DL-PRS resources inside or outside (different numerology) active DL BWP. In such case, it is straightforward to support UE to measure and process DL-PRS resource of multiple frequency hops during a configured measurement gap. During this repetition process, a portion of  PRS is selected as below (which can be 20 MHz, as previously mentioned, the redcap UE is 20 MHz in FR1).</w:t>
      </w:r>
    </w:p>
    <w:p w:rsidR="00370C1E" w:rsidRDefault="003D07F3">
      <w:pPr>
        <w:spacing w:line="360" w:lineRule="auto"/>
        <w:jc w:val="center"/>
        <w:rPr>
          <w:rFonts w:eastAsiaTheme="minorEastAsia"/>
        </w:rPr>
      </w:pPr>
      <w:r>
        <w:rPr>
          <w:rFonts w:eastAsiaTheme="minorEastAsia"/>
          <w:noProof/>
          <w:lang w:val="en-US" w:eastAsia="zh-CN"/>
        </w:rPr>
        <w:drawing>
          <wp:inline distT="0" distB="0" distL="0" distR="0">
            <wp:extent cx="4109720" cy="265747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17289" cy="2662758"/>
                    </a:xfrm>
                    <a:prstGeom prst="rect">
                      <a:avLst/>
                    </a:prstGeom>
                    <a:noFill/>
                  </pic:spPr>
                </pic:pic>
              </a:graphicData>
            </a:graphic>
          </wp:inline>
        </w:drawing>
      </w:r>
    </w:p>
    <w:p w:rsidR="00370C1E" w:rsidRDefault="003D07F3">
      <w:pPr>
        <w:spacing w:line="360" w:lineRule="auto"/>
        <w:jc w:val="center"/>
        <w:rPr>
          <w:rFonts w:eastAsiaTheme="minorEastAsia"/>
          <w:lang w:val="en-US" w:eastAsia="zh-CN"/>
        </w:rPr>
      </w:pPr>
      <w:r>
        <w:rPr>
          <w:rFonts w:eastAsiaTheme="minorEastAsia" w:hint="eastAsia"/>
          <w:lang w:val="en-US" w:eastAsia="zh-CN"/>
        </w:rPr>
        <w:t xml:space="preserve">   Figure 4  DL-PRS frequency hopping inside the MG</w:t>
      </w:r>
    </w:p>
    <w:p w:rsidR="00370C1E" w:rsidRDefault="003D07F3">
      <w:pPr>
        <w:spacing w:line="360" w:lineRule="auto"/>
        <w:jc w:val="both"/>
        <w:rPr>
          <w:sz w:val="22"/>
          <w:szCs w:val="22"/>
          <w:lang w:val="en-US" w:eastAsia="zh-CN"/>
        </w:rPr>
      </w:pPr>
      <w:r>
        <w:rPr>
          <w:rFonts w:hint="eastAsia"/>
          <w:b/>
          <w:bCs/>
          <w:sz w:val="22"/>
          <w:szCs w:val="22"/>
          <w:lang w:val="en-US" w:eastAsia="zh-CN"/>
        </w:rPr>
        <w:t>RAN1 #113 meeting the agreements</w:t>
      </w:r>
      <w:r>
        <w:rPr>
          <w:rFonts w:hint="eastAsia"/>
          <w:sz w:val="22"/>
          <w:szCs w:val="22"/>
          <w:lang w:val="en-US" w:eastAsia="zh-CN"/>
        </w:rPr>
        <w:t xml:space="preserve"> as below:</w:t>
      </w:r>
    </w:p>
    <w:tbl>
      <w:tblPr>
        <w:tblStyle w:val="aa"/>
        <w:tblW w:w="0" w:type="auto"/>
        <w:tblLook w:val="04A0" w:firstRow="1" w:lastRow="0" w:firstColumn="1" w:lastColumn="0" w:noHBand="0" w:noVBand="1"/>
      </w:tblPr>
      <w:tblGrid>
        <w:gridCol w:w="9631"/>
      </w:tblGrid>
      <w:tr w:rsidR="00370C1E">
        <w:tc>
          <w:tcPr>
            <w:tcW w:w="9857" w:type="dxa"/>
          </w:tcPr>
          <w:p w:rsidR="00370C1E" w:rsidRDefault="003D07F3">
            <w:pPr>
              <w:rPr>
                <w:rFonts w:eastAsia="Yu Mincho"/>
                <w:b/>
                <w:lang w:eastAsia="ja-JP"/>
              </w:rPr>
            </w:pPr>
            <w:r>
              <w:rPr>
                <w:rFonts w:eastAsia="Yu Mincho"/>
                <w:b/>
                <w:highlight w:val="green"/>
                <w:lang w:eastAsia="ja-JP"/>
              </w:rPr>
              <w:t>Agreement</w:t>
            </w:r>
          </w:p>
          <w:p w:rsidR="00370C1E" w:rsidRDefault="003D07F3">
            <w:pPr>
              <w:rPr>
                <w:rFonts w:eastAsia="Yu Mincho"/>
                <w:lang w:eastAsia="ja-JP"/>
              </w:rPr>
            </w:pPr>
            <w:r>
              <w:rPr>
                <w:rFonts w:eastAsia="Yu Mincho" w:hint="eastAsia"/>
                <w:lang w:eastAsia="ja-JP"/>
              </w:rPr>
              <w:t>T</w:t>
            </w:r>
            <w:r>
              <w:rPr>
                <w:rFonts w:eastAsia="Yu Mincho"/>
                <w:lang w:eastAsia="ja-JP"/>
              </w:rPr>
              <w:t>he previous agreement is updated as follows:</w:t>
            </w:r>
          </w:p>
          <w:p w:rsidR="00370C1E" w:rsidRDefault="003D07F3">
            <w:pPr>
              <w:ind w:leftChars="200" w:left="400"/>
              <w:rPr>
                <w:b/>
                <w:bCs/>
                <w:lang w:val="en-US" w:eastAsia="ja-JP"/>
              </w:rPr>
            </w:pPr>
            <w:r>
              <w:rPr>
                <w:b/>
                <w:bCs/>
                <w:highlight w:val="green"/>
                <w:lang w:val="en-US" w:eastAsia="ja-JP"/>
              </w:rPr>
              <w:t>Agreement</w:t>
            </w:r>
          </w:p>
          <w:p w:rsidR="00370C1E" w:rsidRDefault="003D07F3">
            <w:pPr>
              <w:ind w:leftChars="200" w:left="400"/>
              <w:rPr>
                <w:bCs/>
                <w:lang w:val="en-US" w:eastAsia="ja-JP"/>
              </w:rPr>
            </w:pPr>
            <w:r>
              <w:rPr>
                <w:bCs/>
                <w:lang w:val="en-US" w:eastAsia="ja-JP"/>
              </w:rPr>
              <w:t>For DL Rx hopping or UL Tx hopping, support the UE or gNB to report the following:</w:t>
            </w:r>
          </w:p>
          <w:p w:rsidR="00370C1E" w:rsidRDefault="003D07F3">
            <w:pPr>
              <w:numPr>
                <w:ilvl w:val="0"/>
                <w:numId w:val="10"/>
              </w:numPr>
              <w:ind w:leftChars="380" w:left="1120"/>
              <w:rPr>
                <w:bCs/>
                <w:lang w:val="en-US" w:eastAsia="ja-JP"/>
              </w:rPr>
            </w:pPr>
            <w:r>
              <w:rPr>
                <w:bCs/>
                <w:lang w:val="en-US" w:eastAsia="ja-JP"/>
              </w:rPr>
              <w:t>A single measurement based on receiving multiple hops of the DL PRS or UL SRS for positioning</w:t>
            </w:r>
          </w:p>
          <w:p w:rsidR="00370C1E" w:rsidRDefault="003D07F3">
            <w:pPr>
              <w:numPr>
                <w:ilvl w:val="0"/>
                <w:numId w:val="10"/>
              </w:numPr>
              <w:ind w:leftChars="380" w:left="1120"/>
              <w:rPr>
                <w:bCs/>
                <w:color w:val="000000"/>
                <w:lang w:val="en-US" w:eastAsia="ja-JP"/>
              </w:rPr>
            </w:pPr>
            <w:proofErr w:type="gramStart"/>
            <w:r>
              <w:rPr>
                <w:bCs/>
                <w:color w:val="000000"/>
                <w:lang w:val="en-US" w:eastAsia="ja-JP"/>
              </w:rPr>
              <w:t>One  measurement</w:t>
            </w:r>
            <w:proofErr w:type="gramEnd"/>
            <w:r>
              <w:rPr>
                <w:bCs/>
                <w:color w:val="000000"/>
                <w:lang w:val="en-US" w:eastAsia="ja-JP"/>
              </w:rPr>
              <w:t xml:space="preserve"> where a measurement is associated with one received hop</w:t>
            </w:r>
          </w:p>
          <w:p w:rsidR="00370C1E" w:rsidRPr="00593E50" w:rsidRDefault="003D07F3" w:rsidP="00593E50">
            <w:pPr>
              <w:numPr>
                <w:ilvl w:val="0"/>
                <w:numId w:val="10"/>
              </w:numPr>
              <w:ind w:leftChars="380" w:left="1120"/>
              <w:rPr>
                <w:bCs/>
                <w:color w:val="000000"/>
                <w:lang w:val="en-US" w:eastAsia="ja-JP"/>
              </w:rPr>
            </w:pPr>
            <w:r>
              <w:rPr>
                <w:bCs/>
                <w:lang w:val="en-US" w:eastAsia="ja-JP"/>
              </w:rPr>
              <w:t>Note: no new measurement definition is introduced in RAN1</w:t>
            </w:r>
          </w:p>
        </w:tc>
      </w:tr>
    </w:tbl>
    <w:p w:rsidR="00370C1E" w:rsidRDefault="003D07F3">
      <w:pPr>
        <w:spacing w:after="0" w:line="360" w:lineRule="auto"/>
        <w:jc w:val="both"/>
        <w:rPr>
          <w:sz w:val="22"/>
          <w:szCs w:val="22"/>
          <w:lang w:val="en-US" w:eastAsia="zh-CN"/>
        </w:rPr>
      </w:pPr>
      <w:r>
        <w:rPr>
          <w:rFonts w:hint="eastAsia"/>
          <w:sz w:val="22"/>
          <w:szCs w:val="22"/>
          <w:lang w:val="en-US" w:eastAsia="zh-CN"/>
        </w:rPr>
        <w:t xml:space="preserve">From RAN1 perspective, for DL PRS Rx hopping, a single instance of a measurement gap is used for receiving all the hops for DL PRS with Rx frequency hopping, and also RAN1 sent the LS to RAN4 to confirm the feasibility. To the best of my belief, if the multiple gaps were used, the time gap in between MG occasions </w:t>
      </w:r>
      <w:r>
        <w:rPr>
          <w:rFonts w:hint="eastAsia"/>
          <w:sz w:val="22"/>
          <w:szCs w:val="22"/>
          <w:lang w:val="en-US" w:eastAsia="zh-CN"/>
        </w:rPr>
        <w:lastRenderedPageBreak/>
        <w:t xml:space="preserve">will make it difficult for UE to compensate phase offset and there may be no performance gain from using FH. On the other hand, RF session has already stipulated that the time switching between adjacent hops is </w:t>
      </w:r>
      <w:r w:rsidR="00593E50">
        <w:rPr>
          <w:rFonts w:hint="eastAsia"/>
          <w:sz w:val="22"/>
          <w:szCs w:val="22"/>
          <w:lang w:val="en-US" w:eastAsia="zh-CN"/>
        </w:rPr>
        <w:t>us</w:t>
      </w:r>
      <w:r w:rsidR="00593E50">
        <w:rPr>
          <w:sz w:val="22"/>
          <w:szCs w:val="22"/>
          <w:lang w:val="en-US" w:eastAsia="zh-CN"/>
        </w:rPr>
        <w:t xml:space="preserve"> level</w:t>
      </w:r>
      <w:r>
        <w:rPr>
          <w:rFonts w:hint="eastAsia"/>
          <w:sz w:val="22"/>
          <w:szCs w:val="22"/>
          <w:lang w:val="en-US" w:eastAsia="zh-CN"/>
        </w:rPr>
        <w:t>, the time for switching is small enough compared to a proper MGL such as 20ms. For this reason, I deem that for DL PRS Rx hopping, a single instance of a measurement gap is used for receiving all the hops for DL PRS with Rx frequency hopping.</w:t>
      </w:r>
    </w:p>
    <w:p w:rsidR="00370C1E" w:rsidRDefault="003D07F3">
      <w:pPr>
        <w:spacing w:after="0" w:line="360" w:lineRule="auto"/>
        <w:jc w:val="both"/>
        <w:rPr>
          <w:sz w:val="22"/>
          <w:szCs w:val="22"/>
          <w:lang w:val="en-US" w:eastAsia="zh-CN"/>
        </w:rPr>
      </w:pPr>
      <w:r>
        <w:rPr>
          <w:rFonts w:hint="eastAsia"/>
          <w:sz w:val="22"/>
          <w:szCs w:val="22"/>
          <w:lang w:val="en-US" w:eastAsia="zh-CN"/>
        </w:rPr>
        <w:t>For DL Rx hopping or UL Tx hopping, support the UE or gNB to report the following:</w:t>
      </w:r>
    </w:p>
    <w:p w:rsidR="00370C1E" w:rsidRDefault="003D07F3">
      <w:pPr>
        <w:numPr>
          <w:ilvl w:val="0"/>
          <w:numId w:val="12"/>
        </w:numPr>
        <w:spacing w:after="0" w:line="360" w:lineRule="auto"/>
        <w:jc w:val="both"/>
        <w:rPr>
          <w:sz w:val="22"/>
          <w:szCs w:val="22"/>
          <w:lang w:val="en-US" w:eastAsia="zh-CN"/>
        </w:rPr>
      </w:pPr>
      <w:r>
        <w:rPr>
          <w:rFonts w:hint="eastAsia"/>
          <w:sz w:val="22"/>
          <w:szCs w:val="22"/>
          <w:lang w:val="en-US" w:eastAsia="zh-CN"/>
        </w:rPr>
        <w:t>A single measurement based on receiving multiple hops of the DL PRS or UL SRS for positioning</w:t>
      </w:r>
    </w:p>
    <w:p w:rsidR="00370C1E" w:rsidRDefault="003D07F3">
      <w:pPr>
        <w:numPr>
          <w:ilvl w:val="0"/>
          <w:numId w:val="12"/>
        </w:numPr>
        <w:spacing w:after="0" w:line="360" w:lineRule="auto"/>
        <w:jc w:val="both"/>
        <w:rPr>
          <w:sz w:val="22"/>
          <w:szCs w:val="22"/>
          <w:lang w:val="en-US" w:eastAsia="zh-CN"/>
        </w:rPr>
      </w:pPr>
      <w:r>
        <w:rPr>
          <w:rFonts w:hint="eastAsia"/>
          <w:sz w:val="22"/>
          <w:szCs w:val="22"/>
          <w:lang w:val="en-US" w:eastAsia="zh-CN"/>
        </w:rPr>
        <w:t></w:t>
      </w:r>
      <w:proofErr w:type="gramStart"/>
      <w:r>
        <w:rPr>
          <w:rFonts w:hint="eastAsia"/>
          <w:sz w:val="22"/>
          <w:szCs w:val="22"/>
          <w:lang w:val="en-US" w:eastAsia="zh-CN"/>
        </w:rPr>
        <w:t>One  measurement</w:t>
      </w:r>
      <w:proofErr w:type="gramEnd"/>
      <w:r>
        <w:rPr>
          <w:rFonts w:hint="eastAsia"/>
          <w:sz w:val="22"/>
          <w:szCs w:val="22"/>
          <w:lang w:val="en-US" w:eastAsia="zh-CN"/>
        </w:rPr>
        <w:t xml:space="preserve"> where a measurement is associated with one received hop</w:t>
      </w:r>
      <w:r w:rsidR="00622426">
        <w:rPr>
          <w:sz w:val="22"/>
          <w:szCs w:val="22"/>
          <w:lang w:val="en-US" w:eastAsia="zh-CN"/>
        </w:rPr>
        <w:t xml:space="preserve"> </w:t>
      </w:r>
    </w:p>
    <w:p w:rsidR="00370C1E" w:rsidRDefault="003D07F3">
      <w:pPr>
        <w:spacing w:line="360" w:lineRule="auto"/>
        <w:jc w:val="both"/>
        <w:rPr>
          <w:sz w:val="22"/>
          <w:szCs w:val="22"/>
          <w:lang w:val="en-US" w:eastAsia="zh-CN"/>
        </w:rPr>
      </w:pPr>
      <w:r>
        <w:rPr>
          <w:rFonts w:hint="eastAsia"/>
          <w:sz w:val="22"/>
          <w:szCs w:val="22"/>
          <w:lang w:val="en-US" w:eastAsia="zh-CN"/>
        </w:rPr>
        <w:t>I reckon that if RAN4 confirmed the above issue (a single instance of MG) and RAN4 agrees that the measurement requirements including measurement period requirements is necessary for the Redcap UE positioning with frequenc</w:t>
      </w:r>
      <w:r w:rsidR="00934CA3">
        <w:rPr>
          <w:rFonts w:hint="eastAsia"/>
          <w:sz w:val="22"/>
          <w:szCs w:val="22"/>
          <w:lang w:val="en-US" w:eastAsia="zh-CN"/>
        </w:rPr>
        <w:t xml:space="preserve">y hopping, but </w:t>
      </w:r>
      <w:r>
        <w:rPr>
          <w:rFonts w:hint="eastAsia"/>
          <w:sz w:val="22"/>
          <w:szCs w:val="22"/>
          <w:lang w:val="en-US" w:eastAsia="zh-CN"/>
        </w:rPr>
        <w:t>RAN4</w:t>
      </w:r>
      <w:r w:rsidR="00934CA3">
        <w:rPr>
          <w:sz w:val="22"/>
          <w:szCs w:val="22"/>
          <w:lang w:val="en-US" w:eastAsia="zh-CN"/>
        </w:rPr>
        <w:t xml:space="preserve"> has already</w:t>
      </w:r>
      <w:r>
        <w:rPr>
          <w:rFonts w:hint="eastAsia"/>
          <w:sz w:val="22"/>
          <w:szCs w:val="22"/>
          <w:lang w:val="en-US" w:eastAsia="zh-CN"/>
        </w:rPr>
        <w:t xml:space="preserve"> agreed that the measurement is within one measurement gap, and also based on the RAN1</w:t>
      </w:r>
      <w:r>
        <w:rPr>
          <w:sz w:val="22"/>
          <w:szCs w:val="22"/>
          <w:lang w:val="en-US" w:eastAsia="zh-CN"/>
        </w:rPr>
        <w:t>’</w:t>
      </w:r>
      <w:r>
        <w:rPr>
          <w:rFonts w:hint="eastAsia"/>
          <w:sz w:val="22"/>
          <w:szCs w:val="22"/>
          <w:lang w:val="en-US" w:eastAsia="zh-CN"/>
        </w:rPr>
        <w:t>s agreements in 112bis_e meeting:</w:t>
      </w:r>
    </w:p>
    <w:p w:rsidR="00370C1E" w:rsidRDefault="003D07F3">
      <w:pPr>
        <w:rPr>
          <w:b/>
          <w:i/>
          <w:iCs/>
          <w:sz w:val="22"/>
          <w:szCs w:val="22"/>
          <w:highlight w:val="green"/>
          <w:lang w:val="en-US" w:eastAsia="zh-CN"/>
        </w:rPr>
      </w:pPr>
      <w:r>
        <w:rPr>
          <w:b/>
          <w:i/>
          <w:iCs/>
          <w:highlight w:val="green"/>
          <w:lang w:eastAsia="ja-JP"/>
        </w:rPr>
        <w:t xml:space="preserve">For positioning for </w:t>
      </w:r>
      <w:proofErr w:type="spellStart"/>
      <w:r>
        <w:rPr>
          <w:b/>
          <w:i/>
          <w:iCs/>
          <w:highlight w:val="green"/>
          <w:lang w:eastAsia="ja-JP"/>
        </w:rPr>
        <w:t>RedCap</w:t>
      </w:r>
      <w:proofErr w:type="spellEnd"/>
      <w:r>
        <w:rPr>
          <w:b/>
          <w:i/>
          <w:iCs/>
          <w:highlight w:val="green"/>
          <w:lang w:eastAsia="ja-JP"/>
        </w:rPr>
        <w:t xml:space="preserve"> UEs with DL PRS Rx Hopping, the UE hops within a DL PRS resource</w:t>
      </w:r>
    </w:p>
    <w:p w:rsidR="00370C1E" w:rsidRDefault="003D07F3">
      <w:pPr>
        <w:spacing w:line="360" w:lineRule="auto"/>
        <w:jc w:val="both"/>
        <w:rPr>
          <w:sz w:val="22"/>
          <w:szCs w:val="22"/>
          <w:lang w:val="en-US" w:eastAsia="zh-CN"/>
        </w:rPr>
      </w:pPr>
      <w:proofErr w:type="gramStart"/>
      <w:r>
        <w:rPr>
          <w:rFonts w:hint="eastAsia"/>
          <w:sz w:val="22"/>
          <w:szCs w:val="22"/>
          <w:lang w:val="en-US" w:eastAsia="zh-CN"/>
        </w:rPr>
        <w:t>the  measurement</w:t>
      </w:r>
      <w:proofErr w:type="gramEnd"/>
      <w:r>
        <w:rPr>
          <w:rFonts w:hint="eastAsia"/>
          <w:sz w:val="22"/>
          <w:szCs w:val="22"/>
          <w:lang w:val="en-US" w:eastAsia="zh-CN"/>
        </w:rPr>
        <w:t xml:space="preserve"> period requirements can be considered for both of two cases.</w:t>
      </w:r>
    </w:p>
    <w:p w:rsidR="0097658D" w:rsidRDefault="0097658D">
      <w:pPr>
        <w:spacing w:line="360" w:lineRule="auto"/>
        <w:jc w:val="both"/>
        <w:rPr>
          <w:sz w:val="22"/>
          <w:szCs w:val="22"/>
          <w:lang w:val="en-US" w:eastAsia="zh-CN"/>
        </w:rPr>
      </w:pPr>
      <w:r>
        <w:rPr>
          <w:sz w:val="22"/>
          <w:szCs w:val="22"/>
          <w:lang w:val="en-US" w:eastAsia="zh-CN"/>
        </w:rPr>
        <w:t>And in previous meeting, we just reached the agreements as below:</w:t>
      </w:r>
    </w:p>
    <w:tbl>
      <w:tblPr>
        <w:tblStyle w:val="aa"/>
        <w:tblW w:w="0" w:type="auto"/>
        <w:tblLook w:val="04A0" w:firstRow="1" w:lastRow="0" w:firstColumn="1" w:lastColumn="0" w:noHBand="0" w:noVBand="1"/>
      </w:tblPr>
      <w:tblGrid>
        <w:gridCol w:w="9631"/>
      </w:tblGrid>
      <w:tr w:rsidR="0097658D" w:rsidTr="0097658D">
        <w:tc>
          <w:tcPr>
            <w:tcW w:w="9631" w:type="dxa"/>
          </w:tcPr>
          <w:p w:rsidR="0097658D" w:rsidRPr="005756DA" w:rsidRDefault="0097658D" w:rsidP="0097658D">
            <w:pPr>
              <w:spacing w:before="120"/>
              <w:rPr>
                <w:b/>
                <w:sz w:val="22"/>
                <w:szCs w:val="22"/>
                <w:u w:val="single"/>
                <w:lang w:val="en-US" w:eastAsia="ko-KR"/>
              </w:rPr>
            </w:pPr>
            <w:bookmarkStart w:id="1" w:name="_Hlk148007630"/>
            <w:r w:rsidRPr="00A108EB">
              <w:rPr>
                <w:b/>
                <w:sz w:val="22"/>
                <w:szCs w:val="22"/>
                <w:u w:val="single"/>
                <w:lang w:val="en-US" w:eastAsia="ko-KR"/>
              </w:rPr>
              <w:t xml:space="preserve">Issue 2-1-1: </w:t>
            </w:r>
            <w:r w:rsidRPr="007E76E3">
              <w:rPr>
                <w:b/>
                <w:sz w:val="22"/>
                <w:szCs w:val="22"/>
                <w:u w:val="single"/>
                <w:lang w:val="en-US" w:eastAsia="ko-KR"/>
              </w:rPr>
              <w:t xml:space="preserve">PRS measurements with FH </w:t>
            </w:r>
            <w:r w:rsidRPr="00F81E2B">
              <w:rPr>
                <w:b/>
                <w:sz w:val="22"/>
                <w:szCs w:val="22"/>
                <w:highlight w:val="yellow"/>
                <w:u w:val="single"/>
                <w:lang w:val="en-US" w:eastAsia="ko-KR"/>
              </w:rPr>
              <w:t>without gaps</w:t>
            </w:r>
          </w:p>
          <w:bookmarkEnd w:id="1"/>
          <w:p w:rsidR="0097658D" w:rsidRPr="005756DA" w:rsidRDefault="0097658D" w:rsidP="0097658D">
            <w:pPr>
              <w:rPr>
                <w:rFonts w:eastAsiaTheme="minorEastAsia"/>
                <w:b/>
                <w:bCs/>
                <w:iCs/>
                <w:sz w:val="22"/>
                <w:szCs w:val="22"/>
                <w:u w:val="single"/>
                <w:lang w:val="en-US" w:eastAsia="zh-CN"/>
              </w:rPr>
            </w:pPr>
            <w:r w:rsidRPr="005756DA">
              <w:rPr>
                <w:rFonts w:eastAsiaTheme="minorEastAsia"/>
                <w:b/>
                <w:bCs/>
                <w:iCs/>
                <w:sz w:val="22"/>
                <w:szCs w:val="22"/>
                <w:highlight w:val="green"/>
                <w:u w:val="single"/>
                <w:lang w:val="en-US" w:eastAsia="zh-CN"/>
              </w:rPr>
              <w:t>A</w:t>
            </w:r>
            <w:r w:rsidRPr="005756DA">
              <w:rPr>
                <w:rFonts w:eastAsiaTheme="minorEastAsia" w:hint="eastAsia"/>
                <w:b/>
                <w:bCs/>
                <w:iCs/>
                <w:sz w:val="22"/>
                <w:szCs w:val="22"/>
                <w:highlight w:val="green"/>
                <w:u w:val="single"/>
                <w:lang w:val="en-US" w:eastAsia="zh-CN"/>
              </w:rPr>
              <w:t>greements</w:t>
            </w:r>
            <w:r w:rsidRPr="005756DA">
              <w:rPr>
                <w:rFonts w:eastAsiaTheme="minorEastAsia" w:hint="eastAsia"/>
                <w:i/>
                <w:sz w:val="22"/>
                <w:szCs w:val="22"/>
                <w:highlight w:val="green"/>
                <w:lang w:val="en-US" w:eastAsia="zh-CN"/>
              </w:rPr>
              <w:t>:</w:t>
            </w:r>
          </w:p>
          <w:p w:rsidR="0097658D" w:rsidRDefault="0097658D" w:rsidP="001F7ABE">
            <w:pPr>
              <w:spacing w:after="120"/>
              <w:contextualSpacing/>
              <w:rPr>
                <w:bCs/>
                <w:lang w:eastAsia="zh-CN"/>
              </w:rPr>
            </w:pPr>
            <w:r w:rsidRPr="001F7ABE">
              <w:rPr>
                <w:bCs/>
                <w:lang w:eastAsia="zh-CN"/>
              </w:rPr>
              <w:t>PRS measurements with FH without gaps is not supported and therefore no RAN4 requirements are needed.</w:t>
            </w:r>
          </w:p>
          <w:p w:rsidR="001F7ABE" w:rsidRPr="001F7ABE" w:rsidRDefault="001F7ABE" w:rsidP="001F7ABE">
            <w:pPr>
              <w:spacing w:after="120"/>
              <w:contextualSpacing/>
              <w:rPr>
                <w:bCs/>
                <w:lang w:eastAsia="zh-CN"/>
              </w:rPr>
            </w:pPr>
          </w:p>
          <w:p w:rsidR="006C543B" w:rsidRPr="005756DA" w:rsidRDefault="006C543B" w:rsidP="006C543B">
            <w:pPr>
              <w:spacing w:before="120"/>
              <w:rPr>
                <w:b/>
                <w:bCs/>
                <w:sz w:val="22"/>
                <w:szCs w:val="22"/>
                <w:u w:val="single"/>
                <w:lang w:eastAsia="en-GB"/>
              </w:rPr>
            </w:pPr>
            <w:r w:rsidRPr="00252DD5">
              <w:rPr>
                <w:b/>
                <w:bCs/>
                <w:sz w:val="22"/>
                <w:szCs w:val="22"/>
                <w:u w:val="single"/>
                <w:lang w:eastAsia="en-GB"/>
              </w:rPr>
              <w:t>Issue 2-3-6: Number of hops within a single MG occasion</w:t>
            </w:r>
          </w:p>
          <w:p w:rsidR="006C543B" w:rsidRPr="005756DA" w:rsidRDefault="006C543B" w:rsidP="006C543B">
            <w:pPr>
              <w:rPr>
                <w:rFonts w:eastAsiaTheme="minorEastAsia"/>
                <w:b/>
                <w:bCs/>
                <w:iCs/>
                <w:sz w:val="22"/>
                <w:szCs w:val="22"/>
                <w:u w:val="single"/>
                <w:lang w:val="en-US" w:eastAsia="zh-CN"/>
              </w:rPr>
            </w:pPr>
            <w:r w:rsidRPr="005756DA">
              <w:rPr>
                <w:rFonts w:eastAsiaTheme="minorEastAsia"/>
                <w:b/>
                <w:bCs/>
                <w:iCs/>
                <w:sz w:val="22"/>
                <w:szCs w:val="22"/>
                <w:highlight w:val="green"/>
                <w:u w:val="single"/>
                <w:lang w:val="en-US" w:eastAsia="zh-CN"/>
              </w:rPr>
              <w:t>A</w:t>
            </w:r>
            <w:r w:rsidRPr="005756DA">
              <w:rPr>
                <w:rFonts w:eastAsiaTheme="minorEastAsia" w:hint="eastAsia"/>
                <w:b/>
                <w:bCs/>
                <w:iCs/>
                <w:sz w:val="22"/>
                <w:szCs w:val="22"/>
                <w:highlight w:val="green"/>
                <w:u w:val="single"/>
                <w:lang w:val="en-US" w:eastAsia="zh-CN"/>
              </w:rPr>
              <w:t>greements</w:t>
            </w:r>
            <w:r w:rsidRPr="005756DA">
              <w:rPr>
                <w:rFonts w:eastAsiaTheme="minorEastAsia" w:hint="eastAsia"/>
                <w:i/>
                <w:sz w:val="22"/>
                <w:szCs w:val="22"/>
                <w:highlight w:val="green"/>
                <w:lang w:val="en-US" w:eastAsia="zh-CN"/>
              </w:rPr>
              <w:t>:</w:t>
            </w:r>
          </w:p>
          <w:p w:rsidR="006C543B" w:rsidRDefault="006C543B" w:rsidP="006C543B">
            <w:pPr>
              <w:spacing w:after="120"/>
              <w:contextualSpacing/>
              <w:rPr>
                <w:szCs w:val="22"/>
                <w:lang w:eastAsia="ja-JP"/>
              </w:rPr>
            </w:pPr>
            <w:r w:rsidRPr="009F4072">
              <w:rPr>
                <w:szCs w:val="22"/>
                <w:lang w:eastAsia="ja-JP"/>
              </w:rPr>
              <w:t>Number of hops within a single MG occasion is defined as a requirement.</w:t>
            </w:r>
          </w:p>
          <w:p w:rsidR="006C543B" w:rsidRPr="006C543B" w:rsidRDefault="006C543B" w:rsidP="006C543B">
            <w:pPr>
              <w:spacing w:after="120"/>
              <w:contextualSpacing/>
              <w:rPr>
                <w:rFonts w:eastAsiaTheme="minorEastAsia"/>
                <w:bCs/>
                <w:lang w:eastAsia="zh-CN"/>
              </w:rPr>
            </w:pPr>
          </w:p>
        </w:tc>
      </w:tr>
    </w:tbl>
    <w:p w:rsidR="0097658D" w:rsidRPr="0059439F" w:rsidRDefault="0059439F">
      <w:pPr>
        <w:spacing w:line="360" w:lineRule="auto"/>
        <w:jc w:val="both"/>
        <w:rPr>
          <w:rFonts w:eastAsiaTheme="minorEastAsia"/>
          <w:sz w:val="22"/>
          <w:szCs w:val="22"/>
          <w:lang w:val="en-US" w:eastAsia="zh-CN"/>
        </w:rPr>
      </w:pPr>
      <w:r>
        <w:rPr>
          <w:rFonts w:eastAsiaTheme="minorEastAsia"/>
          <w:sz w:val="22"/>
          <w:szCs w:val="22"/>
          <w:lang w:val="en-US" w:eastAsia="zh-CN"/>
        </w:rPr>
        <w:t>Based on above, PRS measurements with FH without gaps is not supported and we shall only consider the</w:t>
      </w:r>
      <w:r w:rsidR="00351F83">
        <w:rPr>
          <w:rFonts w:eastAsiaTheme="minorEastAsia"/>
          <w:sz w:val="22"/>
          <w:szCs w:val="22"/>
          <w:lang w:val="en-US" w:eastAsia="zh-CN"/>
        </w:rPr>
        <w:t xml:space="preserve"> measurements</w:t>
      </w:r>
      <w:r>
        <w:rPr>
          <w:rFonts w:eastAsiaTheme="minorEastAsia"/>
          <w:sz w:val="22"/>
          <w:szCs w:val="22"/>
          <w:lang w:val="en-US" w:eastAsia="zh-CN"/>
        </w:rPr>
        <w:t xml:space="preserve"> requirements with measurement gap.</w:t>
      </w:r>
      <w:r w:rsidR="0013149F">
        <w:rPr>
          <w:rFonts w:eastAsiaTheme="minorEastAsia"/>
          <w:sz w:val="22"/>
          <w:szCs w:val="22"/>
          <w:lang w:val="en-US" w:eastAsia="zh-CN"/>
        </w:rPr>
        <w:t xml:space="preserve"> </w:t>
      </w:r>
      <w:r w:rsidR="00BA791D">
        <w:rPr>
          <w:rFonts w:eastAsiaTheme="minorEastAsia"/>
          <w:sz w:val="22"/>
          <w:szCs w:val="22"/>
          <w:lang w:val="en-US" w:eastAsia="zh-CN"/>
        </w:rPr>
        <w:t>And from my perspective, the multiple hops can be measured in a single measurement gap, so the measurement period requirement are similar to two cases.</w:t>
      </w:r>
    </w:p>
    <w:p w:rsidR="00370C1E" w:rsidRDefault="002B6950">
      <w:pPr>
        <w:spacing w:line="360" w:lineRule="auto"/>
        <w:jc w:val="both"/>
        <w:rPr>
          <w:rFonts w:eastAsiaTheme="minorEastAsia"/>
          <w:b/>
          <w:bCs/>
          <w:sz w:val="22"/>
          <w:szCs w:val="22"/>
          <w:lang w:val="en-US" w:eastAsia="zh-CN"/>
        </w:rPr>
      </w:pPr>
      <w:r>
        <w:rPr>
          <w:rFonts w:eastAsiaTheme="minorEastAsia" w:hint="eastAsia"/>
          <w:b/>
          <w:bCs/>
          <w:sz w:val="22"/>
          <w:szCs w:val="22"/>
          <w:lang w:val="en-US" w:eastAsia="zh-CN"/>
        </w:rPr>
        <w:t xml:space="preserve">Observation </w:t>
      </w:r>
      <w:r>
        <w:rPr>
          <w:rFonts w:eastAsiaTheme="minorEastAsia"/>
          <w:b/>
          <w:bCs/>
          <w:sz w:val="22"/>
          <w:szCs w:val="22"/>
          <w:lang w:val="en-US" w:eastAsia="zh-CN"/>
        </w:rPr>
        <w:t>1</w:t>
      </w:r>
      <w:r w:rsidR="003D07F3">
        <w:rPr>
          <w:rFonts w:eastAsiaTheme="minorEastAsia" w:hint="eastAsia"/>
          <w:b/>
          <w:bCs/>
          <w:sz w:val="22"/>
          <w:szCs w:val="22"/>
          <w:lang w:val="en-US" w:eastAsia="zh-CN"/>
        </w:rPr>
        <w:t>:  The measurement is within one measurement gap (if confirmed) and for positioning for RedCap UEs with DL PRS Rx Hopping, the UE hops within a DL PRS resource.</w:t>
      </w:r>
    </w:p>
    <w:p w:rsidR="00370C1E" w:rsidRDefault="002B6950">
      <w:pPr>
        <w:spacing w:line="360" w:lineRule="auto"/>
        <w:jc w:val="both"/>
        <w:rPr>
          <w:rFonts w:eastAsiaTheme="minorEastAsia"/>
          <w:b/>
          <w:bCs/>
          <w:sz w:val="22"/>
          <w:szCs w:val="22"/>
          <w:lang w:val="en-US" w:eastAsia="zh-CN"/>
        </w:rPr>
      </w:pPr>
      <w:r>
        <w:rPr>
          <w:rFonts w:eastAsiaTheme="minorEastAsia" w:hint="eastAsia"/>
          <w:b/>
          <w:bCs/>
          <w:sz w:val="22"/>
          <w:szCs w:val="22"/>
          <w:lang w:val="en-US" w:eastAsia="zh-CN"/>
        </w:rPr>
        <w:t xml:space="preserve">Proposal </w:t>
      </w:r>
      <w:r>
        <w:rPr>
          <w:rFonts w:eastAsiaTheme="minorEastAsia"/>
          <w:b/>
          <w:bCs/>
          <w:sz w:val="22"/>
          <w:szCs w:val="22"/>
          <w:lang w:val="en-US" w:eastAsia="zh-CN"/>
        </w:rPr>
        <w:t>1</w:t>
      </w:r>
      <w:r w:rsidR="003D07F3">
        <w:rPr>
          <w:rFonts w:eastAsiaTheme="minorEastAsia" w:hint="eastAsia"/>
          <w:b/>
          <w:bCs/>
          <w:sz w:val="22"/>
          <w:szCs w:val="22"/>
          <w:lang w:val="en-US" w:eastAsia="zh-CN"/>
        </w:rPr>
        <w:t>: RAN4 shall consider and study the measurement period requirements for both</w:t>
      </w:r>
      <w:r w:rsidR="00003D95">
        <w:rPr>
          <w:rFonts w:eastAsiaTheme="minorEastAsia" w:hint="eastAsia"/>
          <w:b/>
          <w:bCs/>
          <w:sz w:val="22"/>
          <w:szCs w:val="22"/>
          <w:lang w:val="en-US" w:eastAsia="zh-CN"/>
        </w:rPr>
        <w:t xml:space="preserve"> of two cases the RAN1 proposed</w:t>
      </w:r>
      <w:r w:rsidR="00003D95">
        <w:rPr>
          <w:rFonts w:eastAsiaTheme="minorEastAsia"/>
          <w:b/>
          <w:bCs/>
          <w:sz w:val="22"/>
          <w:szCs w:val="22"/>
          <w:lang w:val="en-US" w:eastAsia="zh-CN"/>
        </w:rPr>
        <w:t xml:space="preserve"> and the measurement period requirements are similar to two cases.</w:t>
      </w:r>
    </w:p>
    <w:p w:rsidR="00A901E5" w:rsidRDefault="00A901E5">
      <w:pPr>
        <w:spacing w:line="360" w:lineRule="auto"/>
        <w:jc w:val="both"/>
        <w:rPr>
          <w:rFonts w:eastAsiaTheme="minorEastAsia"/>
          <w:b/>
          <w:bCs/>
          <w:sz w:val="22"/>
          <w:szCs w:val="22"/>
          <w:lang w:val="en-US" w:eastAsia="zh-CN"/>
        </w:rPr>
      </w:pPr>
    </w:p>
    <w:p w:rsidR="00370C1E" w:rsidRDefault="003D07F3">
      <w:pPr>
        <w:pStyle w:val="RAN4H1"/>
        <w:rPr>
          <w:lang w:val="en-US"/>
        </w:rPr>
      </w:pPr>
      <w:r>
        <w:rPr>
          <w:lang w:val="en-US"/>
        </w:rPr>
        <w:t>Conclusion</w:t>
      </w:r>
    </w:p>
    <w:p w:rsidR="00370C1E" w:rsidRDefault="003D07F3">
      <w:pPr>
        <w:rPr>
          <w:rFonts w:eastAsia="宋体"/>
          <w:lang w:val="en-US" w:eastAsia="zh-CN"/>
        </w:rPr>
      </w:pPr>
      <w:r>
        <w:t xml:space="preserve">The following </w:t>
      </w:r>
      <w:r>
        <w:rPr>
          <w:rFonts w:eastAsia="宋体" w:hint="eastAsia"/>
          <w:lang w:val="en-US" w:eastAsia="zh-CN"/>
        </w:rPr>
        <w:t xml:space="preserve">observations and </w:t>
      </w:r>
      <w:r>
        <w:t>proposals are made</w:t>
      </w:r>
      <w:r>
        <w:rPr>
          <w:rFonts w:eastAsia="宋体" w:hint="eastAsia"/>
          <w:lang w:val="en-US" w:eastAsia="zh-CN"/>
        </w:rPr>
        <w:t>:</w:t>
      </w:r>
    </w:p>
    <w:p w:rsidR="00370C1E" w:rsidRDefault="002B6950">
      <w:pPr>
        <w:spacing w:line="360" w:lineRule="auto"/>
        <w:jc w:val="both"/>
        <w:rPr>
          <w:rFonts w:eastAsiaTheme="minorEastAsia"/>
          <w:b/>
          <w:bCs/>
          <w:sz w:val="22"/>
          <w:szCs w:val="22"/>
          <w:lang w:val="en-US" w:eastAsia="zh-CN"/>
        </w:rPr>
      </w:pPr>
      <w:r>
        <w:rPr>
          <w:rFonts w:eastAsiaTheme="minorEastAsia" w:hint="eastAsia"/>
          <w:b/>
          <w:bCs/>
          <w:sz w:val="22"/>
          <w:szCs w:val="22"/>
          <w:lang w:val="en-US" w:eastAsia="zh-CN"/>
        </w:rPr>
        <w:lastRenderedPageBreak/>
        <w:t xml:space="preserve">Observation </w:t>
      </w:r>
      <w:r>
        <w:rPr>
          <w:rFonts w:eastAsiaTheme="minorEastAsia"/>
          <w:b/>
          <w:bCs/>
          <w:sz w:val="22"/>
          <w:szCs w:val="22"/>
          <w:lang w:val="en-US" w:eastAsia="zh-CN"/>
        </w:rPr>
        <w:t>1</w:t>
      </w:r>
      <w:r w:rsidR="003D07F3">
        <w:rPr>
          <w:rFonts w:eastAsiaTheme="minorEastAsia" w:hint="eastAsia"/>
          <w:b/>
          <w:bCs/>
          <w:sz w:val="22"/>
          <w:szCs w:val="22"/>
          <w:lang w:val="en-US" w:eastAsia="zh-CN"/>
        </w:rPr>
        <w:t>:  The measurement is within one measurement gap (if confirmed) and for positioning for RedCap UEs with DL PRS Rx Hopping, the UE hops within a DL PRS resource.</w:t>
      </w:r>
    </w:p>
    <w:p w:rsidR="007B0A02" w:rsidRDefault="007B0A02" w:rsidP="007B0A02">
      <w:pPr>
        <w:spacing w:line="360" w:lineRule="auto"/>
        <w:jc w:val="both"/>
        <w:rPr>
          <w:rFonts w:eastAsiaTheme="minorEastAsia"/>
          <w:b/>
          <w:bCs/>
          <w:sz w:val="22"/>
          <w:szCs w:val="22"/>
          <w:lang w:val="en-US" w:eastAsia="zh-CN"/>
        </w:rPr>
      </w:pPr>
      <w:r>
        <w:rPr>
          <w:rFonts w:eastAsiaTheme="minorEastAsia" w:hint="eastAsia"/>
          <w:b/>
          <w:bCs/>
          <w:sz w:val="22"/>
          <w:szCs w:val="22"/>
          <w:lang w:val="en-US" w:eastAsia="zh-CN"/>
        </w:rPr>
        <w:t xml:space="preserve">Proposal </w:t>
      </w:r>
      <w:r>
        <w:rPr>
          <w:rFonts w:eastAsiaTheme="minorEastAsia"/>
          <w:b/>
          <w:bCs/>
          <w:sz w:val="22"/>
          <w:szCs w:val="22"/>
          <w:lang w:val="en-US" w:eastAsia="zh-CN"/>
        </w:rPr>
        <w:t>1</w:t>
      </w:r>
      <w:r>
        <w:rPr>
          <w:rFonts w:eastAsiaTheme="minorEastAsia" w:hint="eastAsia"/>
          <w:b/>
          <w:bCs/>
          <w:sz w:val="22"/>
          <w:szCs w:val="22"/>
          <w:lang w:val="en-US" w:eastAsia="zh-CN"/>
        </w:rPr>
        <w:t>: RAN4 shall consider and study the measurement period requirements for both of two cases the RAN1 proposed</w:t>
      </w:r>
      <w:r>
        <w:rPr>
          <w:rFonts w:eastAsiaTheme="minorEastAsia"/>
          <w:b/>
          <w:bCs/>
          <w:sz w:val="22"/>
          <w:szCs w:val="22"/>
          <w:lang w:val="en-US" w:eastAsia="zh-CN"/>
        </w:rPr>
        <w:t xml:space="preserve"> and the measurement period requirements are similar to two cases.</w:t>
      </w:r>
    </w:p>
    <w:p w:rsidR="00F73CD7" w:rsidRDefault="00F73CD7" w:rsidP="007B0A02">
      <w:pPr>
        <w:spacing w:line="360" w:lineRule="auto"/>
        <w:jc w:val="both"/>
        <w:rPr>
          <w:rFonts w:eastAsiaTheme="minorEastAsia"/>
          <w:b/>
          <w:bCs/>
          <w:sz w:val="22"/>
          <w:szCs w:val="22"/>
          <w:lang w:val="en-US" w:eastAsia="zh-CN"/>
        </w:rPr>
      </w:pPr>
    </w:p>
    <w:p w:rsidR="00370C1E" w:rsidRDefault="003D07F3">
      <w:pPr>
        <w:pStyle w:val="RAN4H1"/>
        <w:numPr>
          <w:ilvl w:val="0"/>
          <w:numId w:val="0"/>
        </w:numPr>
        <w:ind w:left="360" w:hanging="360"/>
        <w:rPr>
          <w:lang w:val="en-US"/>
        </w:rPr>
      </w:pPr>
      <w:r>
        <w:rPr>
          <w:lang w:val="en-US"/>
        </w:rPr>
        <w:t>References</w:t>
      </w:r>
    </w:p>
    <w:p w:rsidR="00370C1E" w:rsidRDefault="003D07F3">
      <w:pPr>
        <w:pStyle w:val="ae"/>
        <w:numPr>
          <w:ilvl w:val="0"/>
          <w:numId w:val="13"/>
        </w:numPr>
        <w:ind w:right="-22"/>
      </w:pPr>
      <w:bookmarkStart w:id="2" w:name="_Ref114500673"/>
      <w:bookmarkEnd w:id="2"/>
      <w:r>
        <w:t>RP-2</w:t>
      </w:r>
      <w:r>
        <w:rPr>
          <w:rFonts w:eastAsia="宋体" w:hint="eastAsia"/>
          <w:lang w:val="en-US" w:eastAsia="zh-CN"/>
        </w:rPr>
        <w:t>30328</w:t>
      </w:r>
      <w:r>
        <w:t>, “</w:t>
      </w:r>
      <w:r>
        <w:rPr>
          <w:rFonts w:hint="eastAsia"/>
        </w:rPr>
        <w:t>New WID on Expanded and Improved NR Positioning</w:t>
      </w:r>
      <w:r>
        <w:t>”, Intel Corporation</w:t>
      </w:r>
    </w:p>
    <w:p w:rsidR="00370C1E" w:rsidRDefault="003D07F3">
      <w:pPr>
        <w:pStyle w:val="ae"/>
        <w:numPr>
          <w:ilvl w:val="0"/>
          <w:numId w:val="13"/>
        </w:numPr>
        <w:ind w:right="-22"/>
      </w:pPr>
      <w:r>
        <w:t>R4-2</w:t>
      </w:r>
      <w:r>
        <w:rPr>
          <w:rFonts w:eastAsia="宋体" w:hint="eastAsia"/>
          <w:lang w:val="en-US" w:eastAsia="zh-CN"/>
        </w:rPr>
        <w:t>310072</w:t>
      </w:r>
      <w:r>
        <w:t xml:space="preserve">, “WF on expanded and improved NR positioning study”, </w:t>
      </w:r>
      <w:r>
        <w:rPr>
          <w:rFonts w:eastAsia="宋体" w:hint="eastAsia"/>
          <w:lang w:val="en-US" w:eastAsia="zh-CN"/>
        </w:rPr>
        <w:t>Ericsson</w:t>
      </w:r>
    </w:p>
    <w:p w:rsidR="00370C1E" w:rsidRDefault="003D07F3">
      <w:pPr>
        <w:pStyle w:val="ae"/>
        <w:numPr>
          <w:ilvl w:val="0"/>
          <w:numId w:val="13"/>
        </w:numPr>
        <w:ind w:right="-22"/>
      </w:pPr>
      <w:r>
        <w:t xml:space="preserve">3GPP </w:t>
      </w:r>
      <w:r>
        <w:rPr>
          <w:rFonts w:eastAsia="宋体" w:hint="eastAsia"/>
          <w:lang w:val="en-US" w:eastAsia="zh-CN"/>
        </w:rPr>
        <w:t>TS 38.133</w:t>
      </w:r>
      <w:r>
        <w:t xml:space="preserve"> </w:t>
      </w:r>
    </w:p>
    <w:p w:rsidR="00370C1E" w:rsidRDefault="00370C1E">
      <w:pPr>
        <w:pStyle w:val="ae"/>
        <w:ind w:left="360" w:right="-22"/>
        <w:rPr>
          <w:lang w:val="en-US"/>
        </w:rPr>
      </w:pPr>
    </w:p>
    <w:sectPr w:rsidR="00370C1E">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D59" w:rsidRDefault="008A5D59">
      <w:pPr>
        <w:spacing w:after="0"/>
      </w:pPr>
      <w:r>
        <w:separator/>
      </w:r>
    </w:p>
  </w:endnote>
  <w:endnote w:type="continuationSeparator" w:id="0">
    <w:p w:rsidR="008A5D59" w:rsidRDefault="008A5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C1E" w:rsidRDefault="003D07F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B49">
      <w:rPr>
        <w:rFonts w:ascii="Arial" w:hAnsi="Arial" w:cs="Arial"/>
        <w:b/>
        <w:noProof/>
        <w:sz w:val="18"/>
        <w:szCs w:val="18"/>
      </w:rPr>
      <w:t>5</w:t>
    </w:r>
    <w:r>
      <w:rPr>
        <w:rFonts w:ascii="Arial" w:hAnsi="Arial" w:cs="Arial"/>
        <w:b/>
        <w:sz w:val="18"/>
        <w:szCs w:val="18"/>
      </w:rPr>
      <w:fldChar w:fldCharType="end"/>
    </w:r>
  </w:p>
  <w:p w:rsidR="00370C1E" w:rsidRDefault="00370C1E">
    <w:pPr>
      <w:pStyle w:val="a7"/>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D59" w:rsidRDefault="008A5D59">
      <w:pPr>
        <w:spacing w:after="0"/>
      </w:pPr>
      <w:r>
        <w:separator/>
      </w:r>
    </w:p>
  </w:footnote>
  <w:footnote w:type="continuationSeparator" w:id="0">
    <w:p w:rsidR="008A5D59" w:rsidRDefault="008A5D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300005"/>
    <w:multiLevelType w:val="singleLevel"/>
    <w:tmpl w:val="BC300005"/>
    <w:lvl w:ilvl="0">
      <w:start w:val="1"/>
      <w:numFmt w:val="bullet"/>
      <w:lvlText w:val=""/>
      <w:lvlJc w:val="left"/>
      <w:pPr>
        <w:ind w:left="420" w:hanging="420"/>
      </w:pPr>
      <w:rPr>
        <w:rFonts w:ascii="Wingdings" w:hAnsi="Wingdings" w:hint="default"/>
      </w:rPr>
    </w:lvl>
  </w:abstractNum>
  <w:abstractNum w:abstractNumId="1" w15:restartNumberingAfterBreak="0">
    <w:nsid w:val="C3E0280C"/>
    <w:multiLevelType w:val="singleLevel"/>
    <w:tmpl w:val="C3E0280C"/>
    <w:lvl w:ilvl="0">
      <w:start w:val="1"/>
      <w:numFmt w:val="bullet"/>
      <w:lvlText w:val=""/>
      <w:lvlJc w:val="left"/>
      <w:pPr>
        <w:ind w:left="420" w:hanging="420"/>
      </w:pPr>
      <w:rPr>
        <w:rFonts w:ascii="Wingdings" w:hAnsi="Wingdings" w:hint="default"/>
      </w:rPr>
    </w:lvl>
  </w:abstractNum>
  <w:abstractNum w:abstractNumId="2" w15:restartNumberingAfterBreak="0">
    <w:nsid w:val="DEF34B88"/>
    <w:multiLevelType w:val="singleLevel"/>
    <w:tmpl w:val="DEF34B88"/>
    <w:lvl w:ilvl="0">
      <w:start w:val="1"/>
      <w:numFmt w:val="bullet"/>
      <w:lvlText w:val=""/>
      <w:lvlJc w:val="left"/>
      <w:pPr>
        <w:ind w:left="420" w:hanging="420"/>
      </w:pPr>
      <w:rPr>
        <w:rFonts w:ascii="Wingdings" w:hAnsi="Wingdings" w:hint="default"/>
      </w:rPr>
    </w:lvl>
  </w:abstractNum>
  <w:abstractNum w:abstractNumId="3"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7739179"/>
    <w:multiLevelType w:val="singleLevel"/>
    <w:tmpl w:val="67739179"/>
    <w:lvl w:ilvl="0">
      <w:start w:val="1"/>
      <w:numFmt w:val="bullet"/>
      <w:lvlText w:val=""/>
      <w:lvlJc w:val="left"/>
      <w:pPr>
        <w:ind w:left="420" w:hanging="420"/>
      </w:pPr>
      <w:rPr>
        <w:rFonts w:ascii="Wingdings" w:hAnsi="Wingdings" w:hint="default"/>
      </w:rPr>
    </w:lvl>
  </w:abstractNum>
  <w:abstractNum w:abstractNumId="11" w15:restartNumberingAfterBreak="0">
    <w:nsid w:val="71A6086F"/>
    <w:multiLevelType w:val="singleLevel"/>
    <w:tmpl w:val="71A6086F"/>
    <w:lvl w:ilvl="0">
      <w:start w:val="1"/>
      <w:numFmt w:val="bullet"/>
      <w:lvlText w:val=""/>
      <w:lvlJc w:val="left"/>
      <w:pPr>
        <w:ind w:left="420" w:hanging="420"/>
      </w:pPr>
      <w:rPr>
        <w:rFonts w:ascii="Wingdings" w:hAnsi="Wingdings" w:hint="default"/>
      </w:rPr>
    </w:lvl>
  </w:abstractNum>
  <w:abstractNum w:abstractNumId="1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9"/>
  </w:num>
  <w:num w:numId="5">
    <w:abstractNumId w:val="2"/>
  </w:num>
  <w:num w:numId="6">
    <w:abstractNumId w:val="0"/>
  </w:num>
  <w:num w:numId="7">
    <w:abstractNumId w:val="1"/>
  </w:num>
  <w:num w:numId="8">
    <w:abstractNumId w:val="11"/>
  </w:num>
  <w:num w:numId="9">
    <w:abstractNumId w:val="5"/>
  </w:num>
  <w:num w:numId="10">
    <w:abstractNumId w:val="7"/>
  </w:num>
  <w:num w:numId="11">
    <w:abstractNumId w:val="1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95"/>
    <w:rsid w:val="00033397"/>
    <w:rsid w:val="00040095"/>
    <w:rsid w:val="000455F6"/>
    <w:rsid w:val="00051834"/>
    <w:rsid w:val="00054A22"/>
    <w:rsid w:val="00056A26"/>
    <w:rsid w:val="00062023"/>
    <w:rsid w:val="000655A6"/>
    <w:rsid w:val="00080512"/>
    <w:rsid w:val="000C47C3"/>
    <w:rsid w:val="000D58AB"/>
    <w:rsid w:val="0013149F"/>
    <w:rsid w:val="00133525"/>
    <w:rsid w:val="001A4C42"/>
    <w:rsid w:val="001A7420"/>
    <w:rsid w:val="001B6637"/>
    <w:rsid w:val="001C21C3"/>
    <w:rsid w:val="001C76E7"/>
    <w:rsid w:val="001D02C2"/>
    <w:rsid w:val="001F0C1D"/>
    <w:rsid w:val="001F1132"/>
    <w:rsid w:val="001F168B"/>
    <w:rsid w:val="001F7ABE"/>
    <w:rsid w:val="002347A2"/>
    <w:rsid w:val="002675F0"/>
    <w:rsid w:val="002840A1"/>
    <w:rsid w:val="002B6339"/>
    <w:rsid w:val="002B6950"/>
    <w:rsid w:val="002E00EE"/>
    <w:rsid w:val="003172DC"/>
    <w:rsid w:val="0033338C"/>
    <w:rsid w:val="00351F83"/>
    <w:rsid w:val="0035462D"/>
    <w:rsid w:val="00363EED"/>
    <w:rsid w:val="00370C1E"/>
    <w:rsid w:val="003765B8"/>
    <w:rsid w:val="00384CDA"/>
    <w:rsid w:val="003A71A1"/>
    <w:rsid w:val="003C3971"/>
    <w:rsid w:val="003D07F3"/>
    <w:rsid w:val="003D429A"/>
    <w:rsid w:val="00423334"/>
    <w:rsid w:val="004345EC"/>
    <w:rsid w:val="0044364B"/>
    <w:rsid w:val="00454360"/>
    <w:rsid w:val="00465515"/>
    <w:rsid w:val="004929E3"/>
    <w:rsid w:val="004D3578"/>
    <w:rsid w:val="004E213A"/>
    <w:rsid w:val="004F0988"/>
    <w:rsid w:val="004F3340"/>
    <w:rsid w:val="00505B49"/>
    <w:rsid w:val="0053388B"/>
    <w:rsid w:val="00535773"/>
    <w:rsid w:val="00543E6C"/>
    <w:rsid w:val="00546D44"/>
    <w:rsid w:val="0056254B"/>
    <w:rsid w:val="00565087"/>
    <w:rsid w:val="0057305F"/>
    <w:rsid w:val="00580FA2"/>
    <w:rsid w:val="00586E2E"/>
    <w:rsid w:val="00593E50"/>
    <w:rsid w:val="0059439F"/>
    <w:rsid w:val="00597B11"/>
    <w:rsid w:val="005D2E01"/>
    <w:rsid w:val="005D7526"/>
    <w:rsid w:val="005E4BB2"/>
    <w:rsid w:val="00602AEA"/>
    <w:rsid w:val="00614FDF"/>
    <w:rsid w:val="00622426"/>
    <w:rsid w:val="00625242"/>
    <w:rsid w:val="0063543D"/>
    <w:rsid w:val="0063585B"/>
    <w:rsid w:val="00647114"/>
    <w:rsid w:val="006A323F"/>
    <w:rsid w:val="006A6F17"/>
    <w:rsid w:val="006B30D0"/>
    <w:rsid w:val="006C1584"/>
    <w:rsid w:val="006C3D95"/>
    <w:rsid w:val="006C543B"/>
    <w:rsid w:val="006E5C86"/>
    <w:rsid w:val="006F61D7"/>
    <w:rsid w:val="00701116"/>
    <w:rsid w:val="00713C44"/>
    <w:rsid w:val="00734A5B"/>
    <w:rsid w:val="0074026F"/>
    <w:rsid w:val="007429F6"/>
    <w:rsid w:val="00743C79"/>
    <w:rsid w:val="00744E76"/>
    <w:rsid w:val="00774DA4"/>
    <w:rsid w:val="00781F0F"/>
    <w:rsid w:val="007A33F8"/>
    <w:rsid w:val="007B0A02"/>
    <w:rsid w:val="007B600E"/>
    <w:rsid w:val="007F0F4A"/>
    <w:rsid w:val="008028A4"/>
    <w:rsid w:val="00824E09"/>
    <w:rsid w:val="00830747"/>
    <w:rsid w:val="0083684A"/>
    <w:rsid w:val="008768CA"/>
    <w:rsid w:val="00885367"/>
    <w:rsid w:val="008857D0"/>
    <w:rsid w:val="008A5D59"/>
    <w:rsid w:val="008A6463"/>
    <w:rsid w:val="008C384C"/>
    <w:rsid w:val="008E218C"/>
    <w:rsid w:val="008E75A6"/>
    <w:rsid w:val="0090271F"/>
    <w:rsid w:val="00902E23"/>
    <w:rsid w:val="009114D7"/>
    <w:rsid w:val="0091348E"/>
    <w:rsid w:val="00917CCB"/>
    <w:rsid w:val="00934CA3"/>
    <w:rsid w:val="00942EC2"/>
    <w:rsid w:val="00973023"/>
    <w:rsid w:val="0097658D"/>
    <w:rsid w:val="0098113E"/>
    <w:rsid w:val="00985F99"/>
    <w:rsid w:val="009C3E5A"/>
    <w:rsid w:val="009F37B7"/>
    <w:rsid w:val="00A10F02"/>
    <w:rsid w:val="00A1562A"/>
    <w:rsid w:val="00A164B4"/>
    <w:rsid w:val="00A26956"/>
    <w:rsid w:val="00A27486"/>
    <w:rsid w:val="00A53724"/>
    <w:rsid w:val="00A56066"/>
    <w:rsid w:val="00A73129"/>
    <w:rsid w:val="00A82346"/>
    <w:rsid w:val="00A901E5"/>
    <w:rsid w:val="00A92BA1"/>
    <w:rsid w:val="00AC6BC6"/>
    <w:rsid w:val="00AE65E2"/>
    <w:rsid w:val="00B15449"/>
    <w:rsid w:val="00B66DD7"/>
    <w:rsid w:val="00B81824"/>
    <w:rsid w:val="00B93086"/>
    <w:rsid w:val="00B93FB3"/>
    <w:rsid w:val="00BA19ED"/>
    <w:rsid w:val="00BA4B8D"/>
    <w:rsid w:val="00BA791D"/>
    <w:rsid w:val="00BC0519"/>
    <w:rsid w:val="00BC0F7D"/>
    <w:rsid w:val="00BD7D31"/>
    <w:rsid w:val="00BE3255"/>
    <w:rsid w:val="00BF128E"/>
    <w:rsid w:val="00C074DD"/>
    <w:rsid w:val="00C1496A"/>
    <w:rsid w:val="00C33079"/>
    <w:rsid w:val="00C41F2A"/>
    <w:rsid w:val="00C45231"/>
    <w:rsid w:val="00C5073F"/>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32DD"/>
    <w:rsid w:val="00DF62CD"/>
    <w:rsid w:val="00E16509"/>
    <w:rsid w:val="00E16D38"/>
    <w:rsid w:val="00E44582"/>
    <w:rsid w:val="00E77645"/>
    <w:rsid w:val="00EA15B0"/>
    <w:rsid w:val="00EA5EA7"/>
    <w:rsid w:val="00EC4A25"/>
    <w:rsid w:val="00EC6625"/>
    <w:rsid w:val="00F025A2"/>
    <w:rsid w:val="00F04712"/>
    <w:rsid w:val="00F13360"/>
    <w:rsid w:val="00F22EC7"/>
    <w:rsid w:val="00F325C8"/>
    <w:rsid w:val="00F653B8"/>
    <w:rsid w:val="00F73CD7"/>
    <w:rsid w:val="00F76708"/>
    <w:rsid w:val="00F7733E"/>
    <w:rsid w:val="00F80895"/>
    <w:rsid w:val="00F9008D"/>
    <w:rsid w:val="00FA1266"/>
    <w:rsid w:val="00FC1192"/>
    <w:rsid w:val="01001977"/>
    <w:rsid w:val="012139AA"/>
    <w:rsid w:val="015B2753"/>
    <w:rsid w:val="016B3727"/>
    <w:rsid w:val="018E08BB"/>
    <w:rsid w:val="01907C39"/>
    <w:rsid w:val="02373B52"/>
    <w:rsid w:val="02516A82"/>
    <w:rsid w:val="025C6090"/>
    <w:rsid w:val="027313F4"/>
    <w:rsid w:val="02B51BBB"/>
    <w:rsid w:val="02C95CB6"/>
    <w:rsid w:val="02F606FB"/>
    <w:rsid w:val="0455284B"/>
    <w:rsid w:val="046301A2"/>
    <w:rsid w:val="04DB5581"/>
    <w:rsid w:val="04E13F4A"/>
    <w:rsid w:val="05340642"/>
    <w:rsid w:val="05945A70"/>
    <w:rsid w:val="05DB67C3"/>
    <w:rsid w:val="061059E9"/>
    <w:rsid w:val="065D2B80"/>
    <w:rsid w:val="067A5FAA"/>
    <w:rsid w:val="06931491"/>
    <w:rsid w:val="06A745C7"/>
    <w:rsid w:val="06C05646"/>
    <w:rsid w:val="06EC45F8"/>
    <w:rsid w:val="06EE0C5D"/>
    <w:rsid w:val="06FE3FD4"/>
    <w:rsid w:val="07025CBA"/>
    <w:rsid w:val="07150A56"/>
    <w:rsid w:val="07276873"/>
    <w:rsid w:val="074C4045"/>
    <w:rsid w:val="075560E1"/>
    <w:rsid w:val="07565391"/>
    <w:rsid w:val="076170B1"/>
    <w:rsid w:val="07694DBD"/>
    <w:rsid w:val="0770409A"/>
    <w:rsid w:val="0771776A"/>
    <w:rsid w:val="0788005C"/>
    <w:rsid w:val="079F65E1"/>
    <w:rsid w:val="07E021B3"/>
    <w:rsid w:val="07EC1E65"/>
    <w:rsid w:val="07F66AC5"/>
    <w:rsid w:val="080843A7"/>
    <w:rsid w:val="081420BA"/>
    <w:rsid w:val="08167289"/>
    <w:rsid w:val="081732C0"/>
    <w:rsid w:val="081934D2"/>
    <w:rsid w:val="08220D4E"/>
    <w:rsid w:val="08230CD1"/>
    <w:rsid w:val="08395C34"/>
    <w:rsid w:val="084375F1"/>
    <w:rsid w:val="084C657D"/>
    <w:rsid w:val="08A13E77"/>
    <w:rsid w:val="08B05265"/>
    <w:rsid w:val="08D850A7"/>
    <w:rsid w:val="08D94C3C"/>
    <w:rsid w:val="08F57457"/>
    <w:rsid w:val="091C0206"/>
    <w:rsid w:val="0935001E"/>
    <w:rsid w:val="093B5571"/>
    <w:rsid w:val="094F231B"/>
    <w:rsid w:val="09502F64"/>
    <w:rsid w:val="095D3816"/>
    <w:rsid w:val="09606948"/>
    <w:rsid w:val="096C2D33"/>
    <w:rsid w:val="096E0D4F"/>
    <w:rsid w:val="09851B6E"/>
    <w:rsid w:val="09D57D44"/>
    <w:rsid w:val="09E476D0"/>
    <w:rsid w:val="09F033BF"/>
    <w:rsid w:val="0A006589"/>
    <w:rsid w:val="0A6C3BCC"/>
    <w:rsid w:val="0A836ABB"/>
    <w:rsid w:val="0A926E53"/>
    <w:rsid w:val="0ABC02E8"/>
    <w:rsid w:val="0ACE19CF"/>
    <w:rsid w:val="0B1B3502"/>
    <w:rsid w:val="0B3F6621"/>
    <w:rsid w:val="0B4671D4"/>
    <w:rsid w:val="0B4D684B"/>
    <w:rsid w:val="0B640045"/>
    <w:rsid w:val="0B6A4840"/>
    <w:rsid w:val="0B707256"/>
    <w:rsid w:val="0B937334"/>
    <w:rsid w:val="0B994339"/>
    <w:rsid w:val="0C0D74EA"/>
    <w:rsid w:val="0C3644C1"/>
    <w:rsid w:val="0CC050E4"/>
    <w:rsid w:val="0D377674"/>
    <w:rsid w:val="0D8972A3"/>
    <w:rsid w:val="0DA5727B"/>
    <w:rsid w:val="0DB32C3B"/>
    <w:rsid w:val="0DD64C78"/>
    <w:rsid w:val="0E185771"/>
    <w:rsid w:val="0E19723F"/>
    <w:rsid w:val="0E380A24"/>
    <w:rsid w:val="0E3E4AC4"/>
    <w:rsid w:val="0E777792"/>
    <w:rsid w:val="0E830A04"/>
    <w:rsid w:val="0F025E2E"/>
    <w:rsid w:val="0F503AEA"/>
    <w:rsid w:val="0F511411"/>
    <w:rsid w:val="0F682C4F"/>
    <w:rsid w:val="0FB1311F"/>
    <w:rsid w:val="0FB63F96"/>
    <w:rsid w:val="0FDB4972"/>
    <w:rsid w:val="0FDE4688"/>
    <w:rsid w:val="10317A6E"/>
    <w:rsid w:val="10347810"/>
    <w:rsid w:val="103B0BB7"/>
    <w:rsid w:val="108E7014"/>
    <w:rsid w:val="10AB2774"/>
    <w:rsid w:val="10B57DC5"/>
    <w:rsid w:val="10B87C44"/>
    <w:rsid w:val="10BA071A"/>
    <w:rsid w:val="10BB3068"/>
    <w:rsid w:val="10C531CC"/>
    <w:rsid w:val="11811482"/>
    <w:rsid w:val="11846297"/>
    <w:rsid w:val="119121B0"/>
    <w:rsid w:val="119D4778"/>
    <w:rsid w:val="11A35E1B"/>
    <w:rsid w:val="11B201C0"/>
    <w:rsid w:val="11CF778A"/>
    <w:rsid w:val="11EE75FC"/>
    <w:rsid w:val="12140642"/>
    <w:rsid w:val="12491B63"/>
    <w:rsid w:val="12C003F7"/>
    <w:rsid w:val="12D01E4D"/>
    <w:rsid w:val="12D60C70"/>
    <w:rsid w:val="12E63F81"/>
    <w:rsid w:val="136E242C"/>
    <w:rsid w:val="13BC0669"/>
    <w:rsid w:val="13C23A1B"/>
    <w:rsid w:val="13F7240D"/>
    <w:rsid w:val="142A2204"/>
    <w:rsid w:val="14371410"/>
    <w:rsid w:val="14785DC8"/>
    <w:rsid w:val="14870081"/>
    <w:rsid w:val="14A63B80"/>
    <w:rsid w:val="14AA405D"/>
    <w:rsid w:val="14ED22D6"/>
    <w:rsid w:val="15142174"/>
    <w:rsid w:val="15506D61"/>
    <w:rsid w:val="155326B6"/>
    <w:rsid w:val="156F0207"/>
    <w:rsid w:val="15776582"/>
    <w:rsid w:val="157E1778"/>
    <w:rsid w:val="15927E19"/>
    <w:rsid w:val="15950B53"/>
    <w:rsid w:val="15EC0292"/>
    <w:rsid w:val="15F532C8"/>
    <w:rsid w:val="15F92838"/>
    <w:rsid w:val="160A464F"/>
    <w:rsid w:val="162400C2"/>
    <w:rsid w:val="1646133C"/>
    <w:rsid w:val="169A4ADB"/>
    <w:rsid w:val="16AE0E1D"/>
    <w:rsid w:val="16CD4CA5"/>
    <w:rsid w:val="16E84E9D"/>
    <w:rsid w:val="170716B6"/>
    <w:rsid w:val="17104EF2"/>
    <w:rsid w:val="1743780F"/>
    <w:rsid w:val="174B4629"/>
    <w:rsid w:val="17572D82"/>
    <w:rsid w:val="176F3F08"/>
    <w:rsid w:val="17893151"/>
    <w:rsid w:val="179870A0"/>
    <w:rsid w:val="17D01F3A"/>
    <w:rsid w:val="17FB0382"/>
    <w:rsid w:val="17FF14ED"/>
    <w:rsid w:val="18182045"/>
    <w:rsid w:val="183E7E83"/>
    <w:rsid w:val="185A42FA"/>
    <w:rsid w:val="18C012B6"/>
    <w:rsid w:val="18C56218"/>
    <w:rsid w:val="18E96032"/>
    <w:rsid w:val="18EE62E8"/>
    <w:rsid w:val="1950368A"/>
    <w:rsid w:val="19551A74"/>
    <w:rsid w:val="195C2D9C"/>
    <w:rsid w:val="195C5EE2"/>
    <w:rsid w:val="195E5A27"/>
    <w:rsid w:val="197C2433"/>
    <w:rsid w:val="19E63935"/>
    <w:rsid w:val="1A2553BA"/>
    <w:rsid w:val="1A3F6778"/>
    <w:rsid w:val="1A4B3289"/>
    <w:rsid w:val="1A4D6BF2"/>
    <w:rsid w:val="1A6039CA"/>
    <w:rsid w:val="1AA42FDB"/>
    <w:rsid w:val="1AC00EA3"/>
    <w:rsid w:val="1AC56317"/>
    <w:rsid w:val="1AD42F26"/>
    <w:rsid w:val="1AED3950"/>
    <w:rsid w:val="1B000B1E"/>
    <w:rsid w:val="1B160E7E"/>
    <w:rsid w:val="1B1629A3"/>
    <w:rsid w:val="1B205FA2"/>
    <w:rsid w:val="1B481120"/>
    <w:rsid w:val="1B7610B3"/>
    <w:rsid w:val="1B777BC9"/>
    <w:rsid w:val="1B8358E5"/>
    <w:rsid w:val="1B953EDB"/>
    <w:rsid w:val="1B990279"/>
    <w:rsid w:val="1B9B4E1C"/>
    <w:rsid w:val="1B9C50E9"/>
    <w:rsid w:val="1BA81597"/>
    <w:rsid w:val="1BAD4429"/>
    <w:rsid w:val="1BB70BBD"/>
    <w:rsid w:val="1BB80557"/>
    <w:rsid w:val="1BC941CE"/>
    <w:rsid w:val="1BD94D3F"/>
    <w:rsid w:val="1C0003E3"/>
    <w:rsid w:val="1C0B698F"/>
    <w:rsid w:val="1C0C6E69"/>
    <w:rsid w:val="1C5542CD"/>
    <w:rsid w:val="1C5D44D0"/>
    <w:rsid w:val="1CB268C2"/>
    <w:rsid w:val="1CCF51EB"/>
    <w:rsid w:val="1CE7589E"/>
    <w:rsid w:val="1D22356C"/>
    <w:rsid w:val="1D7B4A08"/>
    <w:rsid w:val="1DB553DF"/>
    <w:rsid w:val="1DCB451E"/>
    <w:rsid w:val="1DE404AA"/>
    <w:rsid w:val="1E0629D4"/>
    <w:rsid w:val="1E194EC7"/>
    <w:rsid w:val="1E2433EA"/>
    <w:rsid w:val="1E4D0499"/>
    <w:rsid w:val="1EAD4127"/>
    <w:rsid w:val="1EB8797A"/>
    <w:rsid w:val="1EBE426B"/>
    <w:rsid w:val="1ED004D7"/>
    <w:rsid w:val="1EEF3F18"/>
    <w:rsid w:val="1EEF3FAB"/>
    <w:rsid w:val="1F25251D"/>
    <w:rsid w:val="1F2F4901"/>
    <w:rsid w:val="1F3F1CC1"/>
    <w:rsid w:val="1F430FAA"/>
    <w:rsid w:val="1F583821"/>
    <w:rsid w:val="1F7E201D"/>
    <w:rsid w:val="1FA42E2A"/>
    <w:rsid w:val="1FBB5482"/>
    <w:rsid w:val="1FC43B87"/>
    <w:rsid w:val="1FEC25E3"/>
    <w:rsid w:val="1FF9177B"/>
    <w:rsid w:val="200D64BE"/>
    <w:rsid w:val="201631AC"/>
    <w:rsid w:val="202D06F1"/>
    <w:rsid w:val="204C1CAF"/>
    <w:rsid w:val="20584BED"/>
    <w:rsid w:val="20BA76B8"/>
    <w:rsid w:val="20CC3675"/>
    <w:rsid w:val="21361FB5"/>
    <w:rsid w:val="214B3D89"/>
    <w:rsid w:val="21575426"/>
    <w:rsid w:val="215927EC"/>
    <w:rsid w:val="2177769E"/>
    <w:rsid w:val="220E35F0"/>
    <w:rsid w:val="2227141E"/>
    <w:rsid w:val="224D7066"/>
    <w:rsid w:val="22C261AA"/>
    <w:rsid w:val="22D35705"/>
    <w:rsid w:val="22ED1275"/>
    <w:rsid w:val="22EE7CEE"/>
    <w:rsid w:val="230D3451"/>
    <w:rsid w:val="238C0530"/>
    <w:rsid w:val="238E333F"/>
    <w:rsid w:val="23DA46E8"/>
    <w:rsid w:val="23F91CD5"/>
    <w:rsid w:val="24011D03"/>
    <w:rsid w:val="240D67D9"/>
    <w:rsid w:val="24166C29"/>
    <w:rsid w:val="2423003F"/>
    <w:rsid w:val="24242493"/>
    <w:rsid w:val="244B777F"/>
    <w:rsid w:val="247C113F"/>
    <w:rsid w:val="24C24AA3"/>
    <w:rsid w:val="250D009A"/>
    <w:rsid w:val="25177C5D"/>
    <w:rsid w:val="253E5739"/>
    <w:rsid w:val="25425A19"/>
    <w:rsid w:val="25747F7E"/>
    <w:rsid w:val="25AB3D1C"/>
    <w:rsid w:val="25FA44CF"/>
    <w:rsid w:val="26274BB6"/>
    <w:rsid w:val="262F0D25"/>
    <w:rsid w:val="264E7561"/>
    <w:rsid w:val="26877E28"/>
    <w:rsid w:val="26AA20D3"/>
    <w:rsid w:val="26F81EB4"/>
    <w:rsid w:val="271F0AE2"/>
    <w:rsid w:val="27310B9A"/>
    <w:rsid w:val="273E1C11"/>
    <w:rsid w:val="27446B14"/>
    <w:rsid w:val="279A4ED5"/>
    <w:rsid w:val="27A65477"/>
    <w:rsid w:val="27B223D4"/>
    <w:rsid w:val="27D65541"/>
    <w:rsid w:val="27EC5FCE"/>
    <w:rsid w:val="28143C1A"/>
    <w:rsid w:val="28417461"/>
    <w:rsid w:val="284A4107"/>
    <w:rsid w:val="285E3673"/>
    <w:rsid w:val="28671C46"/>
    <w:rsid w:val="2869013D"/>
    <w:rsid w:val="28825243"/>
    <w:rsid w:val="288D20D6"/>
    <w:rsid w:val="28AB4A54"/>
    <w:rsid w:val="28F045AC"/>
    <w:rsid w:val="28F710A9"/>
    <w:rsid w:val="29111799"/>
    <w:rsid w:val="29572CC9"/>
    <w:rsid w:val="29A63CD6"/>
    <w:rsid w:val="29A94854"/>
    <w:rsid w:val="29D60A95"/>
    <w:rsid w:val="29FC5FF6"/>
    <w:rsid w:val="2A02788A"/>
    <w:rsid w:val="2A057813"/>
    <w:rsid w:val="2A2D73EC"/>
    <w:rsid w:val="2A400A4F"/>
    <w:rsid w:val="2A880153"/>
    <w:rsid w:val="2AA369DD"/>
    <w:rsid w:val="2ACD3A4B"/>
    <w:rsid w:val="2AD40E55"/>
    <w:rsid w:val="2AE344A2"/>
    <w:rsid w:val="2AFD563C"/>
    <w:rsid w:val="2B2F3E49"/>
    <w:rsid w:val="2B9B274A"/>
    <w:rsid w:val="2BD376AF"/>
    <w:rsid w:val="2BE00F0D"/>
    <w:rsid w:val="2C2466CA"/>
    <w:rsid w:val="2C44507A"/>
    <w:rsid w:val="2CBB173A"/>
    <w:rsid w:val="2CF06E1D"/>
    <w:rsid w:val="2CF96227"/>
    <w:rsid w:val="2D8C4EE2"/>
    <w:rsid w:val="2E046FDE"/>
    <w:rsid w:val="2E106E4C"/>
    <w:rsid w:val="2E4930E0"/>
    <w:rsid w:val="2E5E508C"/>
    <w:rsid w:val="2E7F52E5"/>
    <w:rsid w:val="2EB67A2D"/>
    <w:rsid w:val="2EC16714"/>
    <w:rsid w:val="2ECA7D8E"/>
    <w:rsid w:val="2F1A1BC0"/>
    <w:rsid w:val="2F2B12A9"/>
    <w:rsid w:val="2F6E6454"/>
    <w:rsid w:val="2F8463E3"/>
    <w:rsid w:val="2FC73BC7"/>
    <w:rsid w:val="2FCA734A"/>
    <w:rsid w:val="2FE5590A"/>
    <w:rsid w:val="2FF907F2"/>
    <w:rsid w:val="30160ACC"/>
    <w:rsid w:val="308E1CA9"/>
    <w:rsid w:val="30944718"/>
    <w:rsid w:val="30D36634"/>
    <w:rsid w:val="31533DFB"/>
    <w:rsid w:val="315C4C3A"/>
    <w:rsid w:val="317812C7"/>
    <w:rsid w:val="31922AAB"/>
    <w:rsid w:val="31AB07B2"/>
    <w:rsid w:val="31B9498A"/>
    <w:rsid w:val="31E80CE4"/>
    <w:rsid w:val="320C562E"/>
    <w:rsid w:val="327A1E1C"/>
    <w:rsid w:val="328F5C98"/>
    <w:rsid w:val="32A5353F"/>
    <w:rsid w:val="32A94816"/>
    <w:rsid w:val="32D00A99"/>
    <w:rsid w:val="3302588C"/>
    <w:rsid w:val="33106E3B"/>
    <w:rsid w:val="332803E0"/>
    <w:rsid w:val="33552E35"/>
    <w:rsid w:val="335641CF"/>
    <w:rsid w:val="339C1000"/>
    <w:rsid w:val="33BD6EA1"/>
    <w:rsid w:val="34045F88"/>
    <w:rsid w:val="3405108C"/>
    <w:rsid w:val="343314A5"/>
    <w:rsid w:val="346A0540"/>
    <w:rsid w:val="34B464B0"/>
    <w:rsid w:val="34E212A0"/>
    <w:rsid w:val="34E55093"/>
    <w:rsid w:val="35175003"/>
    <w:rsid w:val="35290A77"/>
    <w:rsid w:val="35470EFC"/>
    <w:rsid w:val="356A601B"/>
    <w:rsid w:val="359D35CE"/>
    <w:rsid w:val="35E00D22"/>
    <w:rsid w:val="35E85F18"/>
    <w:rsid w:val="36225127"/>
    <w:rsid w:val="36237E20"/>
    <w:rsid w:val="3624655B"/>
    <w:rsid w:val="36323F24"/>
    <w:rsid w:val="36DD1D55"/>
    <w:rsid w:val="37571F6B"/>
    <w:rsid w:val="376C5D00"/>
    <w:rsid w:val="377F4E51"/>
    <w:rsid w:val="37BC4983"/>
    <w:rsid w:val="380A6F88"/>
    <w:rsid w:val="38130AEF"/>
    <w:rsid w:val="382523BD"/>
    <w:rsid w:val="38496E76"/>
    <w:rsid w:val="3853092C"/>
    <w:rsid w:val="38656C07"/>
    <w:rsid w:val="38BF28AA"/>
    <w:rsid w:val="38C37B63"/>
    <w:rsid w:val="38CE6724"/>
    <w:rsid w:val="38D256E5"/>
    <w:rsid w:val="38D33EE0"/>
    <w:rsid w:val="38DD04E8"/>
    <w:rsid w:val="391278AD"/>
    <w:rsid w:val="391D5BB5"/>
    <w:rsid w:val="393F4B57"/>
    <w:rsid w:val="39D3500A"/>
    <w:rsid w:val="39E55169"/>
    <w:rsid w:val="39E94C83"/>
    <w:rsid w:val="39FE28F7"/>
    <w:rsid w:val="3A18262C"/>
    <w:rsid w:val="3A3F2E68"/>
    <w:rsid w:val="3A5F701A"/>
    <w:rsid w:val="3A835248"/>
    <w:rsid w:val="3AA02CE4"/>
    <w:rsid w:val="3AB8281F"/>
    <w:rsid w:val="3AD1508C"/>
    <w:rsid w:val="3AD31906"/>
    <w:rsid w:val="3AE55A2B"/>
    <w:rsid w:val="3AFD702A"/>
    <w:rsid w:val="3B61770F"/>
    <w:rsid w:val="3B7D2BFC"/>
    <w:rsid w:val="3B802DB5"/>
    <w:rsid w:val="3BD9417A"/>
    <w:rsid w:val="3BFA4763"/>
    <w:rsid w:val="3C046770"/>
    <w:rsid w:val="3C2657B0"/>
    <w:rsid w:val="3C6328E0"/>
    <w:rsid w:val="3C8A7DDC"/>
    <w:rsid w:val="3CAF6FEC"/>
    <w:rsid w:val="3CBD75BF"/>
    <w:rsid w:val="3CC735BF"/>
    <w:rsid w:val="3CF00862"/>
    <w:rsid w:val="3D011447"/>
    <w:rsid w:val="3D5162D2"/>
    <w:rsid w:val="3D555673"/>
    <w:rsid w:val="3D876DDA"/>
    <w:rsid w:val="3D895270"/>
    <w:rsid w:val="3D8D556E"/>
    <w:rsid w:val="3DAC4052"/>
    <w:rsid w:val="3DC272D3"/>
    <w:rsid w:val="3DF55B8D"/>
    <w:rsid w:val="3E107D6A"/>
    <w:rsid w:val="3E2818E7"/>
    <w:rsid w:val="3E320B89"/>
    <w:rsid w:val="3E602AA9"/>
    <w:rsid w:val="3E7D2B87"/>
    <w:rsid w:val="3EB17DC4"/>
    <w:rsid w:val="3ED261F0"/>
    <w:rsid w:val="3EDB7764"/>
    <w:rsid w:val="3EF13BC7"/>
    <w:rsid w:val="3F395BA4"/>
    <w:rsid w:val="3F5A608D"/>
    <w:rsid w:val="3F6836C5"/>
    <w:rsid w:val="3FB137E9"/>
    <w:rsid w:val="3FF80B0E"/>
    <w:rsid w:val="40043699"/>
    <w:rsid w:val="4057140E"/>
    <w:rsid w:val="40573054"/>
    <w:rsid w:val="408C3AEA"/>
    <w:rsid w:val="40932130"/>
    <w:rsid w:val="40A3138F"/>
    <w:rsid w:val="40AF0485"/>
    <w:rsid w:val="40D34024"/>
    <w:rsid w:val="411B4BC1"/>
    <w:rsid w:val="41366B89"/>
    <w:rsid w:val="414C7CD6"/>
    <w:rsid w:val="41606B36"/>
    <w:rsid w:val="41771599"/>
    <w:rsid w:val="41851C58"/>
    <w:rsid w:val="420558C2"/>
    <w:rsid w:val="42DF32DD"/>
    <w:rsid w:val="42FC5CF3"/>
    <w:rsid w:val="42FF71DC"/>
    <w:rsid w:val="4343531D"/>
    <w:rsid w:val="437A6C15"/>
    <w:rsid w:val="438E0180"/>
    <w:rsid w:val="43B22FB4"/>
    <w:rsid w:val="43BD5DE5"/>
    <w:rsid w:val="43C26B7B"/>
    <w:rsid w:val="444D54BA"/>
    <w:rsid w:val="447948F5"/>
    <w:rsid w:val="44A7496E"/>
    <w:rsid w:val="44B36E39"/>
    <w:rsid w:val="44B62BB0"/>
    <w:rsid w:val="44EC7013"/>
    <w:rsid w:val="450F4EF6"/>
    <w:rsid w:val="45135D5A"/>
    <w:rsid w:val="45427AA4"/>
    <w:rsid w:val="455B6233"/>
    <w:rsid w:val="457647A3"/>
    <w:rsid w:val="458D1B9C"/>
    <w:rsid w:val="45DC3A4F"/>
    <w:rsid w:val="46A9603F"/>
    <w:rsid w:val="46DF702F"/>
    <w:rsid w:val="476B32D5"/>
    <w:rsid w:val="479F204D"/>
    <w:rsid w:val="48153BEB"/>
    <w:rsid w:val="481549BD"/>
    <w:rsid w:val="481749B5"/>
    <w:rsid w:val="48537C3E"/>
    <w:rsid w:val="48954080"/>
    <w:rsid w:val="48965075"/>
    <w:rsid w:val="48CB1CC0"/>
    <w:rsid w:val="49363170"/>
    <w:rsid w:val="49574EFB"/>
    <w:rsid w:val="49582843"/>
    <w:rsid w:val="499305D6"/>
    <w:rsid w:val="499975A6"/>
    <w:rsid w:val="49B7193C"/>
    <w:rsid w:val="49C8100A"/>
    <w:rsid w:val="4A2B1E2F"/>
    <w:rsid w:val="4A7758D0"/>
    <w:rsid w:val="4A885CE1"/>
    <w:rsid w:val="4AEA3839"/>
    <w:rsid w:val="4B1E55B4"/>
    <w:rsid w:val="4B206934"/>
    <w:rsid w:val="4B2C4272"/>
    <w:rsid w:val="4B571928"/>
    <w:rsid w:val="4B7C30DE"/>
    <w:rsid w:val="4BA94404"/>
    <w:rsid w:val="4C232A36"/>
    <w:rsid w:val="4C315980"/>
    <w:rsid w:val="4C4D50A9"/>
    <w:rsid w:val="4C6F66E5"/>
    <w:rsid w:val="4C8535A1"/>
    <w:rsid w:val="4C874B04"/>
    <w:rsid w:val="4CB8134C"/>
    <w:rsid w:val="4CBB3980"/>
    <w:rsid w:val="4CD362B7"/>
    <w:rsid w:val="4CEB6585"/>
    <w:rsid w:val="4CED28C8"/>
    <w:rsid w:val="4D543C10"/>
    <w:rsid w:val="4DCE0B6B"/>
    <w:rsid w:val="4DF22D6C"/>
    <w:rsid w:val="4DFA799E"/>
    <w:rsid w:val="4E3E6F9A"/>
    <w:rsid w:val="4E5A4D05"/>
    <w:rsid w:val="4E993495"/>
    <w:rsid w:val="4EB2058C"/>
    <w:rsid w:val="4ED72E5D"/>
    <w:rsid w:val="4EE52BDF"/>
    <w:rsid w:val="4EFD0BFD"/>
    <w:rsid w:val="4EFD6D97"/>
    <w:rsid w:val="4F077813"/>
    <w:rsid w:val="4F0B1927"/>
    <w:rsid w:val="4F0B3E5B"/>
    <w:rsid w:val="4F1B2096"/>
    <w:rsid w:val="4F1D369F"/>
    <w:rsid w:val="4F261A37"/>
    <w:rsid w:val="4F290247"/>
    <w:rsid w:val="4F433DC8"/>
    <w:rsid w:val="4F7B621D"/>
    <w:rsid w:val="4FA14EEC"/>
    <w:rsid w:val="4FF77B7C"/>
    <w:rsid w:val="50180A09"/>
    <w:rsid w:val="508364E6"/>
    <w:rsid w:val="50A76FD6"/>
    <w:rsid w:val="50D77D3F"/>
    <w:rsid w:val="511A5121"/>
    <w:rsid w:val="51286AE9"/>
    <w:rsid w:val="512B76A8"/>
    <w:rsid w:val="515534CC"/>
    <w:rsid w:val="5173229A"/>
    <w:rsid w:val="519543C4"/>
    <w:rsid w:val="51AD4C9E"/>
    <w:rsid w:val="51B463DB"/>
    <w:rsid w:val="51BD3871"/>
    <w:rsid w:val="51F22CAB"/>
    <w:rsid w:val="520F3488"/>
    <w:rsid w:val="522929B4"/>
    <w:rsid w:val="524B0A96"/>
    <w:rsid w:val="52853336"/>
    <w:rsid w:val="52881D50"/>
    <w:rsid w:val="529F2353"/>
    <w:rsid w:val="52B368E2"/>
    <w:rsid w:val="52CF523D"/>
    <w:rsid w:val="52E63E0D"/>
    <w:rsid w:val="52EC6302"/>
    <w:rsid w:val="534257EE"/>
    <w:rsid w:val="53463941"/>
    <w:rsid w:val="536B736B"/>
    <w:rsid w:val="53707DDE"/>
    <w:rsid w:val="538F65F2"/>
    <w:rsid w:val="539B74BF"/>
    <w:rsid w:val="53B53B31"/>
    <w:rsid w:val="53D41A3B"/>
    <w:rsid w:val="53DD46AB"/>
    <w:rsid w:val="53EB6BAA"/>
    <w:rsid w:val="53EE67E9"/>
    <w:rsid w:val="541411EB"/>
    <w:rsid w:val="54591CDE"/>
    <w:rsid w:val="545D1AE0"/>
    <w:rsid w:val="548D68BC"/>
    <w:rsid w:val="54C55228"/>
    <w:rsid w:val="54E810AB"/>
    <w:rsid w:val="55183C9E"/>
    <w:rsid w:val="55184110"/>
    <w:rsid w:val="55274423"/>
    <w:rsid w:val="5589190F"/>
    <w:rsid w:val="55AA7AC4"/>
    <w:rsid w:val="55B557FB"/>
    <w:rsid w:val="55BF5B65"/>
    <w:rsid w:val="55FF0C13"/>
    <w:rsid w:val="56420E3A"/>
    <w:rsid w:val="5652511E"/>
    <w:rsid w:val="56616CE7"/>
    <w:rsid w:val="5673343A"/>
    <w:rsid w:val="56832D98"/>
    <w:rsid w:val="569F5D8D"/>
    <w:rsid w:val="56BB6658"/>
    <w:rsid w:val="56EE203A"/>
    <w:rsid w:val="56FB2168"/>
    <w:rsid w:val="56FE55E4"/>
    <w:rsid w:val="5739320B"/>
    <w:rsid w:val="576542B7"/>
    <w:rsid w:val="57951AEF"/>
    <w:rsid w:val="57B86D4C"/>
    <w:rsid w:val="57BB53FE"/>
    <w:rsid w:val="57C568C3"/>
    <w:rsid w:val="57EF2E78"/>
    <w:rsid w:val="5812324C"/>
    <w:rsid w:val="58510290"/>
    <w:rsid w:val="585572BE"/>
    <w:rsid w:val="587472D5"/>
    <w:rsid w:val="58863BEA"/>
    <w:rsid w:val="58C64CF3"/>
    <w:rsid w:val="58CB3B78"/>
    <w:rsid w:val="58CE0517"/>
    <w:rsid w:val="59110FA6"/>
    <w:rsid w:val="591270B9"/>
    <w:rsid w:val="592375BD"/>
    <w:rsid w:val="593402DA"/>
    <w:rsid w:val="5959544A"/>
    <w:rsid w:val="59C21908"/>
    <w:rsid w:val="59D746F5"/>
    <w:rsid w:val="59E2436D"/>
    <w:rsid w:val="5A046FEE"/>
    <w:rsid w:val="5A121B9F"/>
    <w:rsid w:val="5A4A6B8D"/>
    <w:rsid w:val="5A723A0D"/>
    <w:rsid w:val="5A762255"/>
    <w:rsid w:val="5A7B1574"/>
    <w:rsid w:val="5A904777"/>
    <w:rsid w:val="5A9D621A"/>
    <w:rsid w:val="5ACF40CD"/>
    <w:rsid w:val="5AEE34FF"/>
    <w:rsid w:val="5AF53981"/>
    <w:rsid w:val="5B190F9A"/>
    <w:rsid w:val="5B760457"/>
    <w:rsid w:val="5B7E0E98"/>
    <w:rsid w:val="5BD637EC"/>
    <w:rsid w:val="5BDC6102"/>
    <w:rsid w:val="5BDE562E"/>
    <w:rsid w:val="5BDE5A43"/>
    <w:rsid w:val="5C087812"/>
    <w:rsid w:val="5C34166A"/>
    <w:rsid w:val="5C3F1363"/>
    <w:rsid w:val="5C431892"/>
    <w:rsid w:val="5C7A69B1"/>
    <w:rsid w:val="5CA756EA"/>
    <w:rsid w:val="5CA92E2B"/>
    <w:rsid w:val="5D230368"/>
    <w:rsid w:val="5D4123BC"/>
    <w:rsid w:val="5D4C70F1"/>
    <w:rsid w:val="5D6136AF"/>
    <w:rsid w:val="5D9F34B5"/>
    <w:rsid w:val="5DAC2A03"/>
    <w:rsid w:val="5DDC0079"/>
    <w:rsid w:val="5E1463C6"/>
    <w:rsid w:val="5E202510"/>
    <w:rsid w:val="5E3D235D"/>
    <w:rsid w:val="5E6C6F50"/>
    <w:rsid w:val="5F0205A4"/>
    <w:rsid w:val="5F1778BF"/>
    <w:rsid w:val="5F5A3C58"/>
    <w:rsid w:val="5F6F1600"/>
    <w:rsid w:val="5F892553"/>
    <w:rsid w:val="5FA75162"/>
    <w:rsid w:val="5FCE12C6"/>
    <w:rsid w:val="5FF07432"/>
    <w:rsid w:val="5FF36B68"/>
    <w:rsid w:val="5FF94643"/>
    <w:rsid w:val="60464DF3"/>
    <w:rsid w:val="60517D3C"/>
    <w:rsid w:val="606F0CB1"/>
    <w:rsid w:val="607A4BA9"/>
    <w:rsid w:val="60A859A2"/>
    <w:rsid w:val="60A90040"/>
    <w:rsid w:val="60D94311"/>
    <w:rsid w:val="60F83A81"/>
    <w:rsid w:val="61224D7E"/>
    <w:rsid w:val="612B6AD8"/>
    <w:rsid w:val="61AA6C54"/>
    <w:rsid w:val="61C136D5"/>
    <w:rsid w:val="61EE4C9C"/>
    <w:rsid w:val="61FA35AD"/>
    <w:rsid w:val="62100EA5"/>
    <w:rsid w:val="62106F71"/>
    <w:rsid w:val="622E1F65"/>
    <w:rsid w:val="626B1DB5"/>
    <w:rsid w:val="626E2705"/>
    <w:rsid w:val="626E4F58"/>
    <w:rsid w:val="62E220A8"/>
    <w:rsid w:val="62F67597"/>
    <w:rsid w:val="62FB1D23"/>
    <w:rsid w:val="630C34D0"/>
    <w:rsid w:val="63CC02C1"/>
    <w:rsid w:val="63E75F83"/>
    <w:rsid w:val="63EA5541"/>
    <w:rsid w:val="63F75B8A"/>
    <w:rsid w:val="64312F66"/>
    <w:rsid w:val="643F6693"/>
    <w:rsid w:val="645E43B7"/>
    <w:rsid w:val="647F6D16"/>
    <w:rsid w:val="64A76E77"/>
    <w:rsid w:val="64EB1866"/>
    <w:rsid w:val="65251397"/>
    <w:rsid w:val="6525282B"/>
    <w:rsid w:val="65A240BE"/>
    <w:rsid w:val="65A273A9"/>
    <w:rsid w:val="65EB5C8A"/>
    <w:rsid w:val="662267F5"/>
    <w:rsid w:val="66361E85"/>
    <w:rsid w:val="6682104F"/>
    <w:rsid w:val="66C42438"/>
    <w:rsid w:val="66D16397"/>
    <w:rsid w:val="671943EE"/>
    <w:rsid w:val="673E3C3E"/>
    <w:rsid w:val="674E06A1"/>
    <w:rsid w:val="675F73A7"/>
    <w:rsid w:val="679D7D9D"/>
    <w:rsid w:val="67B515D6"/>
    <w:rsid w:val="67B84A87"/>
    <w:rsid w:val="67C065EF"/>
    <w:rsid w:val="67E768DC"/>
    <w:rsid w:val="67E824D2"/>
    <w:rsid w:val="67F076FA"/>
    <w:rsid w:val="67F64762"/>
    <w:rsid w:val="681D108F"/>
    <w:rsid w:val="683E742C"/>
    <w:rsid w:val="68452B15"/>
    <w:rsid w:val="685A52F7"/>
    <w:rsid w:val="68841F86"/>
    <w:rsid w:val="68937F93"/>
    <w:rsid w:val="68A54006"/>
    <w:rsid w:val="68BA3542"/>
    <w:rsid w:val="68D42FFF"/>
    <w:rsid w:val="68E214A0"/>
    <w:rsid w:val="68E84B74"/>
    <w:rsid w:val="691212C3"/>
    <w:rsid w:val="6914516D"/>
    <w:rsid w:val="691F0C99"/>
    <w:rsid w:val="69567A3C"/>
    <w:rsid w:val="698002AD"/>
    <w:rsid w:val="698F0AD4"/>
    <w:rsid w:val="69D9569F"/>
    <w:rsid w:val="69F92C7D"/>
    <w:rsid w:val="69FB1400"/>
    <w:rsid w:val="6A1813CD"/>
    <w:rsid w:val="6A3001E9"/>
    <w:rsid w:val="6A744564"/>
    <w:rsid w:val="6A7B5A87"/>
    <w:rsid w:val="6B0D2C77"/>
    <w:rsid w:val="6B510AB4"/>
    <w:rsid w:val="6B8E2CC8"/>
    <w:rsid w:val="6BA6445F"/>
    <w:rsid w:val="6BB554FE"/>
    <w:rsid w:val="6BF65521"/>
    <w:rsid w:val="6BFE357B"/>
    <w:rsid w:val="6C1363EA"/>
    <w:rsid w:val="6C45204F"/>
    <w:rsid w:val="6C6F58E5"/>
    <w:rsid w:val="6C851E58"/>
    <w:rsid w:val="6C9803A4"/>
    <w:rsid w:val="6CC12566"/>
    <w:rsid w:val="6CD84C1C"/>
    <w:rsid w:val="6CFB043C"/>
    <w:rsid w:val="6D0B1131"/>
    <w:rsid w:val="6D243939"/>
    <w:rsid w:val="6D377DBC"/>
    <w:rsid w:val="6D447778"/>
    <w:rsid w:val="6D470009"/>
    <w:rsid w:val="6D84645E"/>
    <w:rsid w:val="6D895671"/>
    <w:rsid w:val="6DF362B1"/>
    <w:rsid w:val="6E2607E4"/>
    <w:rsid w:val="6E295EDD"/>
    <w:rsid w:val="6E4057D1"/>
    <w:rsid w:val="6E5261F1"/>
    <w:rsid w:val="6E587AFD"/>
    <w:rsid w:val="6E7D48F4"/>
    <w:rsid w:val="6EE10B05"/>
    <w:rsid w:val="6F0472BB"/>
    <w:rsid w:val="6F0F3EDB"/>
    <w:rsid w:val="6F33399C"/>
    <w:rsid w:val="6F5B3B07"/>
    <w:rsid w:val="6F5C3852"/>
    <w:rsid w:val="6F662D13"/>
    <w:rsid w:val="6F6C74CA"/>
    <w:rsid w:val="6F7A7501"/>
    <w:rsid w:val="6FAD5E72"/>
    <w:rsid w:val="6FCC50AE"/>
    <w:rsid w:val="6FD277E2"/>
    <w:rsid w:val="6FE54985"/>
    <w:rsid w:val="70496108"/>
    <w:rsid w:val="70C410F0"/>
    <w:rsid w:val="715A15F9"/>
    <w:rsid w:val="7182332F"/>
    <w:rsid w:val="718D5CB8"/>
    <w:rsid w:val="71B752EE"/>
    <w:rsid w:val="7203196F"/>
    <w:rsid w:val="724062B5"/>
    <w:rsid w:val="724128A7"/>
    <w:rsid w:val="7248550C"/>
    <w:rsid w:val="72547B40"/>
    <w:rsid w:val="72700C83"/>
    <w:rsid w:val="72776EDE"/>
    <w:rsid w:val="729305D4"/>
    <w:rsid w:val="72E54624"/>
    <w:rsid w:val="73115148"/>
    <w:rsid w:val="74044161"/>
    <w:rsid w:val="744446C4"/>
    <w:rsid w:val="744E6EF3"/>
    <w:rsid w:val="74683202"/>
    <w:rsid w:val="7492552F"/>
    <w:rsid w:val="74EE31EA"/>
    <w:rsid w:val="751D12C7"/>
    <w:rsid w:val="753254A3"/>
    <w:rsid w:val="75371541"/>
    <w:rsid w:val="75461D2F"/>
    <w:rsid w:val="754E45BA"/>
    <w:rsid w:val="754E6BAB"/>
    <w:rsid w:val="75810DBF"/>
    <w:rsid w:val="75842DFC"/>
    <w:rsid w:val="75930C78"/>
    <w:rsid w:val="75975309"/>
    <w:rsid w:val="759D1D10"/>
    <w:rsid w:val="75BE0722"/>
    <w:rsid w:val="75E206DF"/>
    <w:rsid w:val="75F15033"/>
    <w:rsid w:val="75F520B4"/>
    <w:rsid w:val="75FF703E"/>
    <w:rsid w:val="762441D9"/>
    <w:rsid w:val="762B689E"/>
    <w:rsid w:val="76317A33"/>
    <w:rsid w:val="764674C4"/>
    <w:rsid w:val="766C508C"/>
    <w:rsid w:val="769B4474"/>
    <w:rsid w:val="77247924"/>
    <w:rsid w:val="7726248F"/>
    <w:rsid w:val="778C21AC"/>
    <w:rsid w:val="77D62A56"/>
    <w:rsid w:val="77E62733"/>
    <w:rsid w:val="77F84B71"/>
    <w:rsid w:val="780D185B"/>
    <w:rsid w:val="78293DC3"/>
    <w:rsid w:val="784A3CE5"/>
    <w:rsid w:val="785D218D"/>
    <w:rsid w:val="78BA5042"/>
    <w:rsid w:val="78CB0936"/>
    <w:rsid w:val="78E17666"/>
    <w:rsid w:val="78EF19AD"/>
    <w:rsid w:val="790D00E3"/>
    <w:rsid w:val="79307089"/>
    <w:rsid w:val="793B50DD"/>
    <w:rsid w:val="79A56DCA"/>
    <w:rsid w:val="79A86542"/>
    <w:rsid w:val="79FC7A14"/>
    <w:rsid w:val="7A3A078E"/>
    <w:rsid w:val="7A3D52B9"/>
    <w:rsid w:val="7A817A12"/>
    <w:rsid w:val="7A850292"/>
    <w:rsid w:val="7AA81F86"/>
    <w:rsid w:val="7AC528C4"/>
    <w:rsid w:val="7B0320BB"/>
    <w:rsid w:val="7B045858"/>
    <w:rsid w:val="7B146F35"/>
    <w:rsid w:val="7B2B028E"/>
    <w:rsid w:val="7B334F2E"/>
    <w:rsid w:val="7B5622D1"/>
    <w:rsid w:val="7B640463"/>
    <w:rsid w:val="7B736A18"/>
    <w:rsid w:val="7B79223C"/>
    <w:rsid w:val="7B795FBF"/>
    <w:rsid w:val="7B7F7226"/>
    <w:rsid w:val="7B821360"/>
    <w:rsid w:val="7BCD7043"/>
    <w:rsid w:val="7BD77C15"/>
    <w:rsid w:val="7C120FB7"/>
    <w:rsid w:val="7C1C7594"/>
    <w:rsid w:val="7C664A02"/>
    <w:rsid w:val="7CC83605"/>
    <w:rsid w:val="7CE02123"/>
    <w:rsid w:val="7CEC648C"/>
    <w:rsid w:val="7D2E1311"/>
    <w:rsid w:val="7DA13AAF"/>
    <w:rsid w:val="7DAA16F6"/>
    <w:rsid w:val="7E183EEA"/>
    <w:rsid w:val="7E855AE7"/>
    <w:rsid w:val="7E9D718F"/>
    <w:rsid w:val="7EC80D2A"/>
    <w:rsid w:val="7ECE6A19"/>
    <w:rsid w:val="7EDB00EA"/>
    <w:rsid w:val="7EE70276"/>
    <w:rsid w:val="7EFE0277"/>
    <w:rsid w:val="7F045852"/>
    <w:rsid w:val="7F912BF1"/>
    <w:rsid w:val="7FD1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4F0EB"/>
  <w15:docId w15:val="{CD64A941-FF1D-44D7-91FA-A28C1907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9">
    <w:name w:val="List"/>
    <w:basedOn w:val="a"/>
    <w:qFormat/>
    <w:pPr>
      <w:ind w:left="568" w:hanging="284"/>
    </w:pPr>
  </w:style>
  <w:style w:type="paragraph" w:styleId="90">
    <w:name w:val="toc 9"/>
    <w:basedOn w:val="80"/>
    <w:next w:val="a"/>
    <w:uiPriority w:val="39"/>
    <w:qFormat/>
    <w:pPr>
      <w:ind w:left="1418" w:hanging="1418"/>
    </w:p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FollowedHyperlink"/>
    <w:basedOn w:val="a0"/>
    <w:qFormat/>
    <w:rPr>
      <w:color w:val="954F72" w:themeColor="followedHyperlink"/>
      <w:u w:val="single"/>
    </w:rPr>
  </w:style>
  <w:style w:type="character" w:styleId="ad">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e">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af"/>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
    <w:name w:val="列出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e"/>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ListParagraph1">
    <w:name w:val="List Paragraph1"/>
    <w:basedOn w:val="a"/>
    <w:uiPriority w:val="34"/>
    <w:qFormat/>
    <w:pPr>
      <w:widowControl w:val="0"/>
      <w:ind w:firstLineChars="200" w:firstLine="420"/>
      <w:jc w:val="both"/>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111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7505-26BF-4A0F-B9AE-C105FC02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1144</Words>
  <Characters>6526</Characters>
  <Application>Microsoft Office Word</Application>
  <DocSecurity>0</DocSecurity>
  <Lines>54</Lines>
  <Paragraphs>15</Paragraphs>
  <ScaleCrop>false</ScaleCrop>
  <Company>ETSI</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Derrick</cp:lastModifiedBy>
  <cp:revision>30</cp:revision>
  <cp:lastPrinted>2019-02-25T14:05:00Z</cp:lastPrinted>
  <dcterms:created xsi:type="dcterms:W3CDTF">2024-02-17T14:13:00Z</dcterms:created>
  <dcterms:modified xsi:type="dcterms:W3CDTF">2024-02-19T10:04:00Z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739D711EC3F34BD39DFAD5BB67E7F625</vt:lpwstr>
  </property>
</Properties>
</file>